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DCA8348" w:rsidR="00280DD1" w:rsidRDefault="00BC269C" w:rsidP="00280DD1">
      <w:pPr>
        <w:pStyle w:val="3GPPHeader"/>
        <w:spacing w:after="60"/>
        <w:rPr>
          <w:sz w:val="32"/>
          <w:szCs w:val="32"/>
          <w:highlight w:val="yellow"/>
        </w:rPr>
      </w:pPr>
      <w:r w:rsidRPr="00DE3FC8">
        <w:rPr>
          <w:lang w:val="en-US"/>
        </w:rPr>
        <w:t>3GPP TSG-RAN WG2 #10</w:t>
      </w:r>
      <w:r w:rsidR="0073352D">
        <w:rPr>
          <w:lang w:val="en-US"/>
        </w:rPr>
        <w:t>6</w:t>
      </w:r>
      <w:r w:rsidR="00280DD1">
        <w:tab/>
      </w:r>
      <w:proofErr w:type="spellStart"/>
      <w:r w:rsidR="00280DD1">
        <w:rPr>
          <w:sz w:val="32"/>
          <w:szCs w:val="32"/>
        </w:rPr>
        <w:t>Tdoc</w:t>
      </w:r>
      <w:proofErr w:type="spellEnd"/>
      <w:r w:rsidR="00280DD1">
        <w:rPr>
          <w:sz w:val="32"/>
          <w:szCs w:val="32"/>
        </w:rPr>
        <w:t xml:space="preserve"> R2-1</w:t>
      </w:r>
      <w:r w:rsidR="00C97AAD" w:rsidRPr="006A256A">
        <w:rPr>
          <w:sz w:val="32"/>
          <w:szCs w:val="32"/>
        </w:rPr>
        <w:t>9</w:t>
      </w:r>
      <w:r w:rsidR="000C34C5" w:rsidRPr="006A256A">
        <w:rPr>
          <w:sz w:val="32"/>
          <w:szCs w:val="32"/>
        </w:rPr>
        <w:t>07334</w:t>
      </w:r>
    </w:p>
    <w:p w14:paraId="63B03AD2" w14:textId="7F6F786D" w:rsidR="00E90E49" w:rsidRDefault="0052500F" w:rsidP="00357380">
      <w:pPr>
        <w:pStyle w:val="3GPPHeader"/>
        <w:rPr>
          <w:noProof/>
        </w:rPr>
      </w:pPr>
      <w:r>
        <w:rPr>
          <w:noProof/>
        </w:rPr>
        <w:t xml:space="preserve">Reno, </w:t>
      </w:r>
      <w:r w:rsidR="00645B65">
        <w:rPr>
          <w:noProof/>
        </w:rPr>
        <w:t xml:space="preserve">Nevada, </w:t>
      </w:r>
      <w:r w:rsidR="00BC269C">
        <w:rPr>
          <w:noProof/>
        </w:rPr>
        <w:t xml:space="preserve">US, </w:t>
      </w:r>
      <w:r w:rsidR="00BC4D68">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sidR="00C97AAD">
        <w:rPr>
          <w:noProof/>
        </w:rPr>
        <w:t>1</w:t>
      </w:r>
      <w:r w:rsidR="00BC4D68">
        <w:rPr>
          <w:noProof/>
        </w:rPr>
        <w:t>7</w:t>
      </w:r>
      <w:r w:rsidR="00BC4D68">
        <w:rPr>
          <w:noProof/>
          <w:vertAlign w:val="superscript"/>
        </w:rPr>
        <w:t>th</w:t>
      </w:r>
      <w:r w:rsidR="00BC269C">
        <w:rPr>
          <w:noProof/>
        </w:rPr>
        <w:t xml:space="preserve"> </w:t>
      </w:r>
      <w:r w:rsidR="00C97AAD">
        <w:rPr>
          <w:noProof/>
        </w:rPr>
        <w:t>Ma</w:t>
      </w:r>
      <w:r>
        <w:rPr>
          <w:noProof/>
        </w:rPr>
        <w:t>y</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24E02849" w:rsidR="00E90E49" w:rsidRPr="006A256A" w:rsidRDefault="00E90E49" w:rsidP="00311702">
      <w:pPr>
        <w:pStyle w:val="3GPPHeader"/>
        <w:rPr>
          <w:sz w:val="22"/>
          <w:szCs w:val="22"/>
          <w:lang w:val="en-US"/>
        </w:rPr>
      </w:pPr>
      <w:r w:rsidRPr="006A256A">
        <w:rPr>
          <w:sz w:val="22"/>
          <w:szCs w:val="22"/>
          <w:lang w:val="en-US"/>
        </w:rPr>
        <w:t>Agenda Item:</w:t>
      </w:r>
      <w:r w:rsidRPr="006A256A">
        <w:rPr>
          <w:sz w:val="22"/>
          <w:szCs w:val="22"/>
          <w:lang w:val="en-US"/>
        </w:rPr>
        <w:tab/>
      </w:r>
      <w:r w:rsidR="00F73959" w:rsidRPr="006A256A">
        <w:rPr>
          <w:sz w:val="22"/>
          <w:szCs w:val="22"/>
          <w:lang w:val="en-US"/>
        </w:rPr>
        <w:t>11</w:t>
      </w:r>
      <w:r w:rsidR="00311702" w:rsidRPr="006A256A">
        <w:rPr>
          <w:sz w:val="22"/>
          <w:szCs w:val="22"/>
          <w:lang w:val="en-US"/>
        </w:rPr>
        <w:t>.</w:t>
      </w:r>
      <w:r w:rsidR="0010765E" w:rsidRPr="006A256A">
        <w:rPr>
          <w:sz w:val="22"/>
          <w:szCs w:val="22"/>
          <w:lang w:val="en-US"/>
        </w:rPr>
        <w:t>1</w:t>
      </w:r>
      <w:r w:rsidR="00467C7D" w:rsidRPr="006A256A">
        <w:rPr>
          <w:sz w:val="22"/>
          <w:szCs w:val="22"/>
          <w:lang w:val="en-US"/>
        </w:rPr>
        <w:t>5</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46B8A408" w:rsidR="00E90E49" w:rsidRPr="00CE0424" w:rsidRDefault="003D3C45" w:rsidP="00311702">
      <w:pPr>
        <w:pStyle w:val="3GPPHeader"/>
        <w:rPr>
          <w:sz w:val="22"/>
          <w:szCs w:val="22"/>
        </w:rPr>
      </w:pPr>
      <w:r>
        <w:rPr>
          <w:sz w:val="22"/>
          <w:szCs w:val="22"/>
        </w:rPr>
        <w:t>Title:</w:t>
      </w:r>
      <w:r w:rsidR="00E90E49" w:rsidRPr="00CE0424">
        <w:rPr>
          <w:sz w:val="22"/>
          <w:szCs w:val="22"/>
        </w:rPr>
        <w:tab/>
      </w:r>
      <w:r w:rsidR="00AF2BE0" w:rsidRPr="006A256A">
        <w:rPr>
          <w:sz w:val="22"/>
          <w:szCs w:val="22"/>
        </w:rPr>
        <w:t>Overview on RAN2 aspects of CLI</w:t>
      </w:r>
    </w:p>
    <w:p w14:paraId="58731019" w14:textId="467634E9" w:rsidR="00E90E49" w:rsidRDefault="00E90E49" w:rsidP="00D546FF">
      <w:pPr>
        <w:pStyle w:val="3GPPHeader"/>
        <w:rPr>
          <w:sz w:val="22"/>
          <w:szCs w:val="22"/>
        </w:rPr>
      </w:pPr>
      <w:r w:rsidRPr="00CE0424">
        <w:rPr>
          <w:sz w:val="22"/>
          <w:szCs w:val="22"/>
        </w:rPr>
        <w:t>Document for:</w:t>
      </w:r>
      <w:r w:rsidRPr="00CE0424">
        <w:rPr>
          <w:sz w:val="22"/>
          <w:szCs w:val="22"/>
        </w:rPr>
        <w:tab/>
      </w:r>
      <w:r w:rsidR="000C34C5" w:rsidRPr="006A256A">
        <w:rPr>
          <w:sz w:val="22"/>
          <w:szCs w:val="22"/>
        </w:rPr>
        <w:t>Discussion, decision</w:t>
      </w:r>
    </w:p>
    <w:p w14:paraId="5BE30A7B" w14:textId="14EE92F4" w:rsidR="00C24345" w:rsidRDefault="00974286" w:rsidP="00A2052C">
      <w:pPr>
        <w:pStyle w:val="Heading1"/>
      </w:pPr>
      <w:r>
        <w:t>Background</w:t>
      </w:r>
    </w:p>
    <w:p w14:paraId="52FC0A71" w14:textId="187235E7" w:rsidR="00C508E2" w:rsidRDefault="00C508E2" w:rsidP="00C508E2">
      <w:pPr>
        <w:pStyle w:val="BodyText"/>
        <w:spacing w:before="240"/>
      </w:pPr>
      <w:r>
        <w:t xml:space="preserve">During the Rel-14 NR SI and subsequent Rel-15 WI, flexible duplexing in general and dynamic TDD was </w:t>
      </w:r>
      <w:proofErr w:type="gramStart"/>
      <w:r>
        <w:t>in particular was</w:t>
      </w:r>
      <w:proofErr w:type="gramEnd"/>
      <w:r>
        <w:t xml:space="preserve"> studied, and Rel-15 NR</w:t>
      </w:r>
      <w:r w:rsidR="005F0078">
        <w:t xml:space="preserve"> currently</w:t>
      </w:r>
      <w:r>
        <w:t xml:space="preserve"> supports flexible frame structure which enables both semi-static and dynamic TDD operation. In the context of both dynamic TDD as well as semi-static TDD with misaligned TDD configurations between neighbouring cells, cross-link interference (CLI) can occur. How to mitigate or avoid such CLI was studied in previous releases and various schemes was enumerated in [2]. Certain CLI mitigation schemes require UE-side CLI measurements as input and the introduction of such measurements was also discussed in Rel-15. However, the work on flexible duplex and CLI measurements was </w:t>
      </w:r>
      <w:proofErr w:type="spellStart"/>
      <w:r>
        <w:t>downprioritized</w:t>
      </w:r>
      <w:proofErr w:type="spellEnd"/>
      <w:r>
        <w:t xml:space="preserve"> by the RAN plenary in 2017 and scoped out of the NR WI.</w:t>
      </w:r>
    </w:p>
    <w:p w14:paraId="2A297BD3" w14:textId="77777777" w:rsidR="00C508E2" w:rsidRDefault="00C508E2" w:rsidP="00C508E2">
      <w:pPr>
        <w:pStyle w:val="BodyText"/>
        <w:spacing w:before="240"/>
      </w:pPr>
      <w:r>
        <w:t>At RAN#80, a WI on CLI and RIM was approved. Furthermore, at, RAN#82, the WID [1] was updated and contain the following objectives:</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E74601" w:rsidRDefault="00C508E2" w:rsidP="00C508E2">
      <w:pPr>
        <w:numPr>
          <w:ilvl w:val="0"/>
          <w:numId w:val="19"/>
        </w:numPr>
        <w:tabs>
          <w:tab w:val="clear" w:pos="720"/>
          <w:tab w:val="num" w:pos="1080"/>
        </w:tabs>
        <w:spacing w:after="0"/>
        <w:ind w:left="1080"/>
        <w:jc w:val="left"/>
        <w:textAlignment w:val="auto"/>
        <w:rPr>
          <w:highlight w:val="cyan"/>
          <w:lang w:eastAsia="en-US"/>
        </w:rPr>
      </w:pPr>
      <w:r w:rsidRPr="00E74601">
        <w:rPr>
          <w:highlight w:val="cyan"/>
        </w:rPr>
        <w:t xml:space="preserve">Specify cross-link interference measurements and reporting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01492D47" w14:textId="1892BCC1" w:rsidR="00E94C21" w:rsidRDefault="00D378F1" w:rsidP="00D378F1">
      <w:pPr>
        <w:pStyle w:val="BodyText"/>
        <w:spacing w:before="240"/>
      </w:pPr>
      <w:r>
        <w:t>In RAN1 Ad-Hoc meeting 1901 in Taipei, it was agreed that both RSSI and SRS-RSRP for CLI measurement is supported, and the following agreements</w:t>
      </w:r>
      <w:r w:rsidR="00E94C21">
        <w:t xml:space="preserve"> that are</w:t>
      </w:r>
      <w:r w:rsidR="0060466D">
        <w:t xml:space="preserve"> </w:t>
      </w:r>
      <w:r w:rsidR="00E94C21">
        <w:t>related to RAN2</w:t>
      </w:r>
      <w:r>
        <w:t xml:space="preserve"> were reached:</w:t>
      </w:r>
    </w:p>
    <w:tbl>
      <w:tblPr>
        <w:tblStyle w:val="TableGrid"/>
        <w:tblW w:w="0" w:type="auto"/>
        <w:tblLook w:val="04A0" w:firstRow="1" w:lastRow="0" w:firstColumn="1" w:lastColumn="0" w:noHBand="0" w:noVBand="1"/>
      </w:tblPr>
      <w:tblGrid>
        <w:gridCol w:w="9629"/>
      </w:tblGrid>
      <w:tr w:rsidR="0060466D" w14:paraId="783965DB" w14:textId="77777777" w:rsidTr="0060466D">
        <w:tc>
          <w:tcPr>
            <w:tcW w:w="9629" w:type="dxa"/>
          </w:tcPr>
          <w:p w14:paraId="3C163912" w14:textId="77777777" w:rsidR="00E94C21" w:rsidRPr="00C20901" w:rsidRDefault="00E94C21" w:rsidP="00E94C21">
            <w:pPr>
              <w:rPr>
                <w:b/>
                <w:szCs w:val="28"/>
                <w:highlight w:val="green"/>
                <w:lang w:eastAsia="x-none"/>
              </w:rPr>
            </w:pPr>
            <w:r w:rsidRPr="00C20901">
              <w:rPr>
                <w:b/>
                <w:szCs w:val="28"/>
                <w:highlight w:val="green"/>
                <w:lang w:eastAsia="x-none"/>
              </w:rPr>
              <w:t>Agreement</w:t>
            </w:r>
          </w:p>
          <w:p w14:paraId="3B983F35" w14:textId="77777777" w:rsidR="00E94C21" w:rsidRDefault="00E94C21" w:rsidP="00E94C21">
            <w:pPr>
              <w:rPr>
                <w:szCs w:val="28"/>
                <w:lang w:eastAsia="x-none"/>
              </w:rPr>
            </w:pPr>
            <w:r w:rsidRPr="00C20901">
              <w:rPr>
                <w:szCs w:val="28"/>
                <w:lang w:eastAsia="x-none"/>
              </w:rPr>
              <w:t>The following CLI measurements are supported:</w:t>
            </w:r>
          </w:p>
          <w:p w14:paraId="5ABD9BA9"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SRS-RSRP:</w:t>
            </w:r>
          </w:p>
          <w:p w14:paraId="37098035" w14:textId="77777777" w:rsidR="00E94C21"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288349E"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RSSI:</w:t>
            </w:r>
          </w:p>
          <w:p w14:paraId="3E575030" w14:textId="77777777" w:rsidR="00E94C21" w:rsidRPr="0060466D"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36AC2386" w14:textId="77777777" w:rsidR="00E94C21" w:rsidRDefault="00E94C21" w:rsidP="00E94C21">
            <w:pPr>
              <w:ind w:left="258" w:hangingChars="129" w:hanging="258"/>
              <w:rPr>
                <w:rFonts w:eastAsia="Malgun Gothic"/>
                <w:b/>
                <w:szCs w:val="22"/>
                <w:highlight w:val="green"/>
                <w:lang w:val="en-US" w:eastAsia="ko-KR"/>
              </w:rPr>
            </w:pPr>
          </w:p>
          <w:p w14:paraId="04DB8D3F" w14:textId="77777777" w:rsidR="00E94C21" w:rsidRPr="00E543DF" w:rsidRDefault="00E94C21" w:rsidP="00E94C21">
            <w:pPr>
              <w:ind w:left="258" w:hangingChars="129" w:hanging="258"/>
              <w:rPr>
                <w:rFonts w:eastAsia="Malgun Gothic"/>
                <w:b/>
                <w:szCs w:val="22"/>
                <w:highlight w:val="green"/>
                <w:lang w:val="en-US" w:eastAsia="ko-KR"/>
              </w:rPr>
            </w:pPr>
            <w:r w:rsidRPr="00E543DF">
              <w:rPr>
                <w:rFonts w:eastAsia="Malgun Gothic"/>
                <w:b/>
                <w:szCs w:val="22"/>
                <w:highlight w:val="green"/>
                <w:lang w:val="en-US" w:eastAsia="ko-KR"/>
              </w:rPr>
              <w:t>Agreement</w:t>
            </w:r>
          </w:p>
          <w:p w14:paraId="75C65AE3" w14:textId="77777777" w:rsidR="00E94C21" w:rsidRPr="00775797" w:rsidRDefault="00E94C21" w:rsidP="00E94C21">
            <w:pPr>
              <w:ind w:left="258" w:hangingChars="129" w:hanging="258"/>
              <w:rPr>
                <w:rFonts w:eastAsia="Malgun Gothic"/>
                <w:szCs w:val="22"/>
                <w:lang w:val="en-US" w:eastAsia="ko-KR"/>
              </w:rPr>
            </w:pPr>
            <w:r w:rsidRPr="00775797">
              <w:rPr>
                <w:rFonts w:eastAsia="Malgun Gothic" w:hint="eastAsia"/>
                <w:szCs w:val="22"/>
                <w:lang w:val="en-US" w:eastAsia="ko-KR"/>
              </w:rPr>
              <w:lastRenderedPageBreak/>
              <w:t xml:space="preserve">For </w:t>
            </w:r>
            <w:r w:rsidRPr="00775797">
              <w:rPr>
                <w:rFonts w:eastAsia="Malgun Gothic"/>
                <w:szCs w:val="22"/>
                <w:lang w:val="en-US" w:eastAsia="ko-KR"/>
              </w:rPr>
              <w:t>SRS-RSRP measurement report,</w:t>
            </w:r>
            <w:r w:rsidRPr="00775797">
              <w:rPr>
                <w:rFonts w:eastAsia="Malgun Gothic"/>
                <w:szCs w:val="22"/>
              </w:rPr>
              <w:t xml:space="preserve"> L3 measurement reporting is applied</w:t>
            </w:r>
          </w:p>
          <w:p w14:paraId="5599AEB9" w14:textId="77777777" w:rsidR="00E94C21" w:rsidRPr="006F42B2" w:rsidRDefault="00E94C21" w:rsidP="00E94C21">
            <w:pPr>
              <w:rPr>
                <w:b/>
                <w:highlight w:val="green"/>
                <w:lang w:eastAsia="ko-KR"/>
              </w:rPr>
            </w:pPr>
            <w:r w:rsidRPr="006F42B2">
              <w:rPr>
                <w:b/>
                <w:highlight w:val="green"/>
                <w:lang w:eastAsia="ko-KR"/>
              </w:rPr>
              <w:t>Agreement</w:t>
            </w:r>
          </w:p>
          <w:p w14:paraId="03D0DD95" w14:textId="77777777" w:rsidR="00E94C21" w:rsidRPr="006F42B2" w:rsidRDefault="00E94C21" w:rsidP="00E94C21">
            <w:pPr>
              <w:ind w:left="258" w:hangingChars="129" w:hanging="258"/>
              <w:rPr>
                <w:rFonts w:eastAsia="Malgun Gothic"/>
                <w:lang w:val="en-US" w:eastAsia="ko-KR"/>
              </w:rPr>
            </w:pPr>
            <w:r w:rsidRPr="006F42B2">
              <w:rPr>
                <w:rFonts w:eastAsia="Malgun Gothic"/>
                <w:lang w:val="en-US" w:eastAsia="ko-KR"/>
              </w:rPr>
              <w:t xml:space="preserve">For CLI-RSSI, </w:t>
            </w:r>
            <w:r w:rsidRPr="006F42B2">
              <w:rPr>
                <w:rFonts w:eastAsia="Malgun Gothic"/>
              </w:rPr>
              <w:t>L3 measurement reporting is applied</w:t>
            </w:r>
          </w:p>
          <w:p w14:paraId="7ED13F98"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Whether SRS-RSRP measurement report and CLI-RSSI measurement report can be configured together for a UE</w:t>
            </w:r>
          </w:p>
          <w:p w14:paraId="3C819957" w14:textId="77777777" w:rsidR="00E94C21" w:rsidRPr="00137491" w:rsidRDefault="00E94C21" w:rsidP="00E94C21">
            <w:pPr>
              <w:pStyle w:val="ListParagraph"/>
              <w:numPr>
                <w:ilvl w:val="1"/>
                <w:numId w:val="21"/>
              </w:numPr>
              <w:spacing w:after="0"/>
              <w:ind w:left="1440"/>
              <w:contextualSpacing w:val="0"/>
              <w:rPr>
                <w:color w:val="000000"/>
                <w:szCs w:val="21"/>
                <w:lang w:eastAsia="zh-CN"/>
              </w:rPr>
            </w:pPr>
            <w:r w:rsidRPr="00137491">
              <w:rPr>
                <w:color w:val="000000"/>
                <w:szCs w:val="21"/>
                <w:lang w:eastAsia="zh-CN"/>
              </w:rPr>
              <w:t>Whether UE should be required to perform SRS-RSRP measurement and CLI-RSSI measurement simultaneously</w:t>
            </w:r>
          </w:p>
          <w:p w14:paraId="52E46077" w14:textId="77777777" w:rsidR="00E94C21" w:rsidRPr="006F42B2" w:rsidRDefault="00E94C21" w:rsidP="00E94C21">
            <w:pPr>
              <w:pStyle w:val="ListParagraph"/>
              <w:ind w:left="0"/>
              <w:rPr>
                <w:rFonts w:ascii="Times New Roman" w:eastAsia="Malgun Gothic" w:hAnsi="Times New Roman"/>
                <w:szCs w:val="20"/>
              </w:rPr>
            </w:pPr>
          </w:p>
          <w:p w14:paraId="1E55A879" w14:textId="77777777" w:rsidR="00E94C21" w:rsidRPr="006F42B2" w:rsidRDefault="00E94C21" w:rsidP="00E94C21">
            <w:pPr>
              <w:rPr>
                <w:b/>
                <w:highlight w:val="green"/>
                <w:lang w:eastAsia="ko-KR"/>
              </w:rPr>
            </w:pPr>
            <w:r w:rsidRPr="006F42B2">
              <w:rPr>
                <w:b/>
                <w:highlight w:val="green"/>
                <w:lang w:eastAsia="ko-KR"/>
              </w:rPr>
              <w:t>Agreement</w:t>
            </w:r>
          </w:p>
          <w:p w14:paraId="572CEB5E" w14:textId="77777777" w:rsidR="00E94C21" w:rsidRPr="00B75EB6" w:rsidRDefault="00E94C21" w:rsidP="00E94C21">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714E64F0" w14:textId="77777777" w:rsidR="00E94C21" w:rsidRPr="000E7096" w:rsidRDefault="00E94C21" w:rsidP="00E94C21">
            <w:pPr>
              <w:numPr>
                <w:ilvl w:val="0"/>
                <w:numId w:val="22"/>
              </w:numPr>
              <w:overflowPunct/>
              <w:autoSpaceDE/>
              <w:autoSpaceDN/>
              <w:adjustRightInd/>
              <w:spacing w:after="0"/>
              <w:jc w:val="left"/>
              <w:textAlignment w:val="auto"/>
              <w:rPr>
                <w:rFonts w:eastAsia="Malgun Gothic"/>
                <w:szCs w:val="22"/>
                <w:lang w:eastAsia="ko-KR"/>
              </w:rPr>
            </w:pPr>
            <w:r w:rsidRPr="000E7096">
              <w:rPr>
                <w:rFonts w:eastAsia="Malgun Gothic"/>
                <w:szCs w:val="22"/>
                <w:lang w:eastAsia="ko-KR"/>
              </w:rPr>
              <w:t xml:space="preserve">Send </w:t>
            </w:r>
            <w:proofErr w:type="gramStart"/>
            <w:r w:rsidRPr="000E7096">
              <w:rPr>
                <w:rFonts w:eastAsia="Malgun Gothic"/>
                <w:szCs w:val="22"/>
                <w:lang w:eastAsia="ko-KR"/>
              </w:rPr>
              <w:t>a</w:t>
            </w:r>
            <w:r>
              <w:rPr>
                <w:rFonts w:eastAsia="Malgun Gothic"/>
                <w:szCs w:val="22"/>
                <w:lang w:eastAsia="ko-KR"/>
              </w:rPr>
              <w:t>n</w:t>
            </w:r>
            <w:proofErr w:type="gramEnd"/>
            <w:r w:rsidRPr="000E7096">
              <w:rPr>
                <w:rFonts w:eastAsia="Malgun Gothic"/>
                <w:szCs w:val="22"/>
                <w:lang w:eastAsia="ko-KR"/>
              </w:rPr>
              <w:t xml:space="preserve"> LS to RAN2 (LGE</w:t>
            </w:r>
            <w:r>
              <w:rPr>
                <w:rFonts w:eastAsia="Malgun Gothic"/>
                <w:szCs w:val="22"/>
                <w:lang w:eastAsia="ko-KR"/>
              </w:rPr>
              <w:t>,</w:t>
            </w:r>
            <w:r w:rsidRPr="000E7096">
              <w:rPr>
                <w:rFonts w:eastAsia="Malgun Gothic"/>
                <w:szCs w:val="22"/>
                <w:lang w:eastAsia="ko-KR"/>
              </w:rPr>
              <w:t xml:space="preserve"> </w:t>
            </w:r>
            <w:proofErr w:type="spellStart"/>
            <w:r w:rsidRPr="000E7096">
              <w:rPr>
                <w:rFonts w:eastAsia="Malgun Gothic"/>
                <w:szCs w:val="22"/>
                <w:lang w:eastAsia="ko-KR"/>
              </w:rPr>
              <w:t>Hyunsoo</w:t>
            </w:r>
            <w:proofErr w:type="spellEnd"/>
            <w:r w:rsidRPr="000E7096">
              <w:rPr>
                <w:rFonts w:eastAsia="Malgun Gothic"/>
                <w:szCs w:val="22"/>
                <w:lang w:eastAsia="ko-KR"/>
              </w:rPr>
              <w:t>)</w:t>
            </w:r>
          </w:p>
          <w:p w14:paraId="67834BB0" w14:textId="77777777" w:rsidR="00E94C21" w:rsidRDefault="00E94C21" w:rsidP="00E94C21">
            <w:pPr>
              <w:rPr>
                <w:rFonts w:eastAsia="Malgun Gothic"/>
                <w:b/>
                <w:szCs w:val="22"/>
                <w:highlight w:val="green"/>
                <w:lang w:val="en-US" w:eastAsia="ko-KR"/>
              </w:rPr>
            </w:pPr>
          </w:p>
          <w:p w14:paraId="32FB8C8F" w14:textId="77777777" w:rsidR="00E94C21" w:rsidRPr="00E3782E" w:rsidRDefault="00E94C21" w:rsidP="00E94C21">
            <w:pPr>
              <w:rPr>
                <w:rFonts w:eastAsia="Malgun Gothic"/>
                <w:b/>
                <w:szCs w:val="22"/>
                <w:highlight w:val="green"/>
                <w:lang w:val="en-US" w:eastAsia="ko-KR"/>
              </w:rPr>
            </w:pPr>
            <w:r w:rsidRPr="00E3782E">
              <w:rPr>
                <w:rFonts w:eastAsia="Malgun Gothic"/>
                <w:b/>
                <w:szCs w:val="22"/>
                <w:highlight w:val="green"/>
                <w:lang w:val="en-US" w:eastAsia="ko-KR"/>
              </w:rPr>
              <w:t>Agreement</w:t>
            </w:r>
          </w:p>
          <w:p w14:paraId="774C19D2" w14:textId="77777777" w:rsidR="00E94C21" w:rsidRPr="00937443"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 xml:space="preserve">From a </w:t>
            </w:r>
            <w:r w:rsidRPr="00937443">
              <w:rPr>
                <w:rFonts w:eastAsia="Malgun Gothic" w:hint="eastAsia"/>
                <w:szCs w:val="22"/>
                <w:lang w:val="en-US" w:eastAsia="ko-KR"/>
              </w:rPr>
              <w:t>spec</w:t>
            </w:r>
            <w:r w:rsidRPr="00937443">
              <w:rPr>
                <w:rFonts w:eastAsia="Malgun Gothic"/>
                <w:szCs w:val="22"/>
                <w:lang w:val="en-US" w:eastAsia="ko-KR"/>
              </w:rPr>
              <w:t>ification</w:t>
            </w:r>
            <w:r w:rsidRPr="00937443">
              <w:rPr>
                <w:rFonts w:eastAsia="Malgun Gothic" w:hint="eastAsia"/>
                <w:szCs w:val="22"/>
                <w:lang w:val="en-US" w:eastAsia="ko-KR"/>
              </w:rPr>
              <w:t xml:space="preserve"> pe</w:t>
            </w:r>
            <w:r w:rsidRPr="00937443">
              <w:rPr>
                <w:rFonts w:eastAsia="Malgun Gothic"/>
                <w:szCs w:val="22"/>
                <w:lang w:val="en-US" w:eastAsia="ko-KR"/>
              </w:rPr>
              <w:t>r</w:t>
            </w:r>
            <w:r w:rsidRPr="00937443">
              <w:rPr>
                <w:rFonts w:eastAsia="Malgun Gothic" w:hint="eastAsia"/>
                <w:szCs w:val="22"/>
                <w:lang w:val="en-US" w:eastAsia="ko-KR"/>
              </w:rPr>
              <w:t xml:space="preserve">spective, </w:t>
            </w:r>
            <w:r w:rsidRPr="00937443">
              <w:rPr>
                <w:rFonts w:eastAsia="Malgun Gothic"/>
                <w:szCs w:val="22"/>
                <w:lang w:val="en-US" w:eastAsia="ko-KR"/>
              </w:rPr>
              <w:t>the measurement/report configuration of CLI-RSSI and SRS-RSRP are independent.</w:t>
            </w:r>
          </w:p>
          <w:p w14:paraId="4767E7EE" w14:textId="4E1256A3" w:rsidR="0060466D" w:rsidRPr="00E94C21"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FFS: UE capability discussion</w:t>
            </w:r>
          </w:p>
        </w:tc>
      </w:tr>
    </w:tbl>
    <w:p w14:paraId="277A73F1" w14:textId="5CB1FC1A" w:rsidR="001A2618" w:rsidRDefault="001A2618" w:rsidP="001A2618">
      <w:pPr>
        <w:spacing w:after="0"/>
        <w:rPr>
          <w:lang w:eastAsia="ko-KR"/>
        </w:rPr>
      </w:pPr>
    </w:p>
    <w:p w14:paraId="5128F6BB" w14:textId="723DC645" w:rsidR="00C508E2" w:rsidRDefault="00C508E2" w:rsidP="00C508E2">
      <w:pPr>
        <w:pStyle w:val="BodyText"/>
        <w:spacing w:before="240"/>
      </w:pPr>
      <w:r>
        <w:t xml:space="preserve">In this paper, we </w:t>
      </w:r>
      <w:r w:rsidR="00E94C21">
        <w:t>give an overview</w:t>
      </w:r>
      <w:r w:rsidR="00B47E7E">
        <w:t xml:space="preserve"> on</w:t>
      </w:r>
      <w:r w:rsidR="00E94C21">
        <w:t xml:space="preserve"> the</w:t>
      </w:r>
      <w:r>
        <w:t xml:space="preserve"> UE-side cross-link interference measurement and reporting</w:t>
      </w:r>
      <w:r w:rsidR="00E94C21">
        <w:t xml:space="preserve"> and touch upon some RAN2</w:t>
      </w:r>
      <w:r w:rsidR="00FB0507">
        <w:t>-related issues.</w:t>
      </w:r>
    </w:p>
    <w:p w14:paraId="3016025A" w14:textId="77777777" w:rsidR="00A2052C" w:rsidRPr="00A2052C" w:rsidRDefault="00A2052C" w:rsidP="00A2052C"/>
    <w:p w14:paraId="5764FF3A" w14:textId="6831FCFE" w:rsidR="004000E8" w:rsidRPr="00CE0424" w:rsidRDefault="004000E8" w:rsidP="00CE0424">
      <w:pPr>
        <w:pStyle w:val="Heading1"/>
      </w:pPr>
      <w:bookmarkStart w:id="0" w:name="_Ref178064866"/>
      <w:r w:rsidRPr="00CE0424">
        <w:t>Discussion</w:t>
      </w:r>
      <w:bookmarkEnd w:id="0"/>
      <w:r w:rsidR="00F66FD9">
        <w:t xml:space="preserve"> on Cross-Link Interference</w:t>
      </w:r>
    </w:p>
    <w:p w14:paraId="7B678012" w14:textId="77777777" w:rsidR="00597500" w:rsidRDefault="00597500" w:rsidP="00597500">
      <w:r>
        <w:t xml:space="preserve">Cross-link interference (CLI) occurs when the transmission directions of neighbouring cells in the network are not aligned, either due to the neighbouring cells applying different semi-static TDD patterns or due to the use of dynamic TDD in at least one of the neighbouring cells. For example, Cell A may be scheduling UL while Cell B is scheduling DL, which causes the UL transmissions of UE(s) in Cell A to interfere with the DL reception of UE(s) in Cell B (so called UE-to-UE interference). In addition, the UL reception of TRP A is interfered by the DL transmission of TRP B (so called TRP-to-TRP interference). This is illustrated in </w:t>
      </w:r>
      <w:r>
        <w:fldChar w:fldCharType="begin"/>
      </w:r>
      <w:r>
        <w:instrText xml:space="preserve"> REF _Ref534369031 \h </w:instrText>
      </w:r>
      <w:r>
        <w:fldChar w:fldCharType="separate"/>
      </w:r>
      <w:r>
        <w:t xml:space="preserve">Figure </w:t>
      </w:r>
      <w:r>
        <w:rPr>
          <w:noProof/>
        </w:rPr>
        <w:t>1</w:t>
      </w:r>
      <w:r>
        <w:fldChar w:fldCharType="end"/>
      </w:r>
      <w:r>
        <w:t xml:space="preserve"> below. Such cross-link interference (UE-to-UE interference or TRP-to-TRP interference) can potentially be significantly larger than that the conventional inter-cell (TRP-to-UE or UE-to-TRP) interference, which risks deteriorating the network performance. </w:t>
      </w:r>
    </w:p>
    <w:p w14:paraId="4CA93058" w14:textId="77777777" w:rsidR="00597500" w:rsidRDefault="00597500" w:rsidP="00597500">
      <w:pPr>
        <w:keepNext/>
      </w:pPr>
      <w:r>
        <w:rPr>
          <w:noProof/>
        </w:rPr>
        <w:drawing>
          <wp:inline distT="0" distB="0" distL="0" distR="0" wp14:anchorId="409BFB7A" wp14:editId="3B0B5B33">
            <wp:extent cx="5935345" cy="2226945"/>
            <wp:effectExtent l="0" t="0" r="825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5345" cy="2226945"/>
                    </a:xfrm>
                    <a:prstGeom prst="rect">
                      <a:avLst/>
                    </a:prstGeom>
                    <a:noFill/>
                    <a:ln>
                      <a:noFill/>
                    </a:ln>
                  </pic:spPr>
                </pic:pic>
              </a:graphicData>
            </a:graphic>
          </wp:inline>
        </w:drawing>
      </w:r>
    </w:p>
    <w:p w14:paraId="11B078E9" w14:textId="549A9306" w:rsidR="00597500" w:rsidRPr="009A1BF8" w:rsidRDefault="00597500" w:rsidP="00597500">
      <w:pPr>
        <w:pStyle w:val="Caption"/>
      </w:pPr>
      <w:bookmarkStart w:id="1" w:name="_Ref534369031"/>
      <w:r>
        <w:t xml:space="preserve">Figure </w:t>
      </w:r>
      <w:r>
        <w:fldChar w:fldCharType="begin"/>
      </w:r>
      <w:r>
        <w:instrText xml:space="preserve"> SEQ Figure \* ARABIC </w:instrText>
      </w:r>
      <w:r>
        <w:fldChar w:fldCharType="separate"/>
      </w:r>
      <w:r w:rsidR="00B16B07">
        <w:rPr>
          <w:noProof/>
        </w:rPr>
        <w:t>1</w:t>
      </w:r>
      <w:r>
        <w:fldChar w:fldCharType="end"/>
      </w:r>
      <w:bookmarkEnd w:id="1"/>
      <w:r>
        <w:t>: Illustration of cross-link interference</w:t>
      </w:r>
    </w:p>
    <w:p w14:paraId="3A1B4D6C" w14:textId="77777777" w:rsidR="00597500" w:rsidRDefault="00597500" w:rsidP="00597500"/>
    <w:p w14:paraId="44760CB7" w14:textId="77777777" w:rsidR="00597500" w:rsidRPr="00597500" w:rsidRDefault="00597500" w:rsidP="00597500">
      <w:pPr>
        <w:rPr>
          <w:rFonts w:cs="Arial"/>
        </w:rPr>
      </w:pPr>
      <w:r w:rsidRPr="00597500">
        <w:rPr>
          <w:rFonts w:cs="Arial"/>
        </w:rPr>
        <w:lastRenderedPageBreak/>
        <w:t>The higher interference level can be due to the following reasons:</w:t>
      </w:r>
    </w:p>
    <w:p w14:paraId="7FD29235" w14:textId="77777777" w:rsidR="00597500" w:rsidRPr="00597500" w:rsidRDefault="00597500" w:rsidP="00597500">
      <w:pPr>
        <w:pStyle w:val="ListParagraph"/>
        <w:numPr>
          <w:ilvl w:val="0"/>
          <w:numId w:val="23"/>
        </w:numPr>
        <w:rPr>
          <w:rFonts w:ascii="Arial" w:hAnsi="Arial" w:cs="Arial"/>
        </w:rPr>
      </w:pPr>
      <w:r w:rsidRPr="00597500">
        <w:rPr>
          <w:rFonts w:ascii="Arial" w:hAnsi="Arial" w:cs="Arial"/>
        </w:rPr>
        <w:t>A larger transmission power is applied by the interfering node than by the intended transmitting node</w:t>
      </w:r>
    </w:p>
    <w:p w14:paraId="4C3FF144" w14:textId="77777777" w:rsidR="00597500" w:rsidRPr="00597500" w:rsidRDefault="00597500" w:rsidP="00597500">
      <w:pPr>
        <w:pStyle w:val="ListParagraph"/>
        <w:numPr>
          <w:ilvl w:val="0"/>
          <w:numId w:val="23"/>
        </w:numPr>
        <w:rPr>
          <w:rFonts w:ascii="Arial" w:hAnsi="Arial" w:cs="Arial"/>
        </w:rPr>
      </w:pPr>
      <w:r w:rsidRPr="00597500">
        <w:rPr>
          <w:rFonts w:ascii="Arial" w:hAnsi="Arial" w:cs="Arial"/>
        </w:rPr>
        <w:t>A more directive antenna pattern, which is also directed at the receiving node, is used by the interfering node than what would have been used by the intended transmitting node</w:t>
      </w:r>
    </w:p>
    <w:p w14:paraId="26D60A97" w14:textId="6E32DBDB" w:rsidR="00B40376" w:rsidRPr="00B40376" w:rsidRDefault="00597500" w:rsidP="00CE0424">
      <w:pPr>
        <w:pStyle w:val="ListParagraph"/>
        <w:numPr>
          <w:ilvl w:val="0"/>
          <w:numId w:val="23"/>
        </w:numPr>
        <w:rPr>
          <w:rFonts w:ascii="Arial" w:hAnsi="Arial" w:cs="Arial"/>
        </w:rPr>
      </w:pPr>
      <w:r w:rsidRPr="00597500">
        <w:rPr>
          <w:rFonts w:ascii="Arial" w:hAnsi="Arial" w:cs="Arial"/>
        </w:rPr>
        <w:t>The path loss between the receiving node and the interfering node is lower than the path loss between the receiving node and the intended transmitting node</w:t>
      </w:r>
    </w:p>
    <w:p w14:paraId="33855FB8" w14:textId="2C4EFDBF" w:rsidR="00E70533" w:rsidRDefault="004D5902" w:rsidP="00CE0424">
      <w:pPr>
        <w:pStyle w:val="BodyText"/>
      </w:pPr>
      <w:r>
        <w:t>Here we focus on UE-to-UE interference</w:t>
      </w:r>
      <w:r w:rsidR="00E12017">
        <w:t xml:space="preserve"> and out of the 3 listed reasons for</w:t>
      </w:r>
      <w:r w:rsidR="006A1D36">
        <w:t xml:space="preserve"> the increased interference level, </w:t>
      </w:r>
      <w:r w:rsidR="00830976">
        <w:t>the mo</w:t>
      </w:r>
      <w:r w:rsidR="003832E8">
        <w:t>st significa</w:t>
      </w:r>
      <w:r w:rsidR="00D80817">
        <w:t>nt is the difference</w:t>
      </w:r>
      <w:r w:rsidR="00101052">
        <w:t xml:space="preserve"> in pathloss</w:t>
      </w:r>
      <w:r w:rsidR="00D80817">
        <w:t xml:space="preserve"> between the cross</w:t>
      </w:r>
      <w:r w:rsidR="00E7791C">
        <w:t xml:space="preserve">-link </w:t>
      </w:r>
      <w:r w:rsidR="00D80817">
        <w:t>and</w:t>
      </w:r>
      <w:r w:rsidR="00E7791C">
        <w:t xml:space="preserve"> the</w:t>
      </w:r>
      <w:r w:rsidR="00D80817">
        <w:t xml:space="preserve"> downlink.</w:t>
      </w:r>
      <w:r w:rsidR="00974BA8">
        <w:t xml:space="preserve"> This can for instance happen when</w:t>
      </w:r>
      <w:r w:rsidR="00A43F70">
        <w:t xml:space="preserve"> the victim UE is on the cell edge and the aggressor UE, </w:t>
      </w:r>
      <w:proofErr w:type="spellStart"/>
      <w:r w:rsidR="00A43F70">
        <w:t>i.e</w:t>
      </w:r>
      <w:proofErr w:type="spellEnd"/>
      <w:r w:rsidR="00A43F70">
        <w:t xml:space="preserve"> the UE causing the interference</w:t>
      </w:r>
      <w:r w:rsidR="00B121D8">
        <w:t xml:space="preserve">, is </w:t>
      </w:r>
      <w:proofErr w:type="gramStart"/>
      <w:r w:rsidR="00B121D8">
        <w:t>in close proximity to</w:t>
      </w:r>
      <w:proofErr w:type="gramEnd"/>
      <w:r w:rsidR="00B121D8">
        <w:t xml:space="preserve"> the UE, which is </w:t>
      </w:r>
      <w:r w:rsidR="00CA4632">
        <w:t>commonly</w:t>
      </w:r>
      <w:r w:rsidR="00B121D8">
        <w:t xml:space="preserve"> refer</w:t>
      </w:r>
      <w:r w:rsidR="00CB1B2E">
        <w:t>red to</w:t>
      </w:r>
      <w:r w:rsidR="00CA4632">
        <w:t xml:space="preserve"> as</w:t>
      </w:r>
      <w:r w:rsidR="00CB1B2E">
        <w:t xml:space="preserve"> a near-far effect. </w:t>
      </w:r>
      <w:r w:rsidR="00A54B15">
        <w:t xml:space="preserve">The link between the victim and aggressor UE may in some cases be much </w:t>
      </w:r>
      <w:r w:rsidR="00D45E9E">
        <w:t>stronger</w:t>
      </w:r>
      <w:r w:rsidR="00A54B15">
        <w:t xml:space="preserve"> than the </w:t>
      </w:r>
      <w:r w:rsidR="00D45E9E">
        <w:t xml:space="preserve">link between victim UE and its serving </w:t>
      </w:r>
      <w:proofErr w:type="spellStart"/>
      <w:r w:rsidR="00D45E9E">
        <w:t>gNB</w:t>
      </w:r>
      <w:proofErr w:type="spellEnd"/>
      <w:r w:rsidR="001C1523">
        <w:t xml:space="preserve">, which could potentially have a </w:t>
      </w:r>
      <w:r w:rsidR="00E04CCE">
        <w:t xml:space="preserve">large impact on the performance. </w:t>
      </w:r>
      <w:r w:rsidR="00D45E9E">
        <w:t xml:space="preserve"> </w:t>
      </w:r>
      <w:r w:rsidR="00A43F70">
        <w:t xml:space="preserve"> </w:t>
      </w:r>
    </w:p>
    <w:p w14:paraId="17530383" w14:textId="19CC7CB8" w:rsidR="00CF2BFC" w:rsidRDefault="00E04CCE" w:rsidP="00CF2BFC">
      <w:pPr>
        <w:pStyle w:val="Observation"/>
      </w:pPr>
      <w:bookmarkStart w:id="2" w:name="_Toc534997503"/>
      <w:bookmarkStart w:id="3" w:name="_Toc4669406"/>
      <w:bookmarkStart w:id="4" w:name="_Toc7509123"/>
      <w:bookmarkStart w:id="5" w:name="_Toc7736388"/>
      <w:r>
        <w:t>Due to near-far effect t</w:t>
      </w:r>
      <w:r w:rsidR="00CF2BFC">
        <w:t xml:space="preserve">he UE-to-UE interference can in some instances be </w:t>
      </w:r>
      <w:bookmarkEnd w:id="2"/>
      <w:r w:rsidR="00887DB7">
        <w:t>very large.</w:t>
      </w:r>
      <w:bookmarkEnd w:id="3"/>
      <w:bookmarkEnd w:id="4"/>
      <w:bookmarkEnd w:id="5"/>
    </w:p>
    <w:p w14:paraId="11F42770" w14:textId="45D2DA75" w:rsidR="00263434" w:rsidRDefault="0091771F" w:rsidP="00CE0424">
      <w:pPr>
        <w:pStyle w:val="BodyText"/>
      </w:pPr>
      <w:r>
        <w:t xml:space="preserve">There are several </w:t>
      </w:r>
      <w:r w:rsidR="00705902">
        <w:t>ways of mitigating</w:t>
      </w:r>
      <w:r w:rsidR="005F259B">
        <w:t xml:space="preserve"> the effect of the UE-to-UE Cross Link Interference</w:t>
      </w:r>
      <w:r w:rsidR="00705902">
        <w:t>, most importantly</w:t>
      </w:r>
      <w:r w:rsidR="007F7C36">
        <w:t xml:space="preserve"> through</w:t>
      </w:r>
      <w:r w:rsidR="00705902">
        <w:t xml:space="preserve"> </w:t>
      </w:r>
      <w:r w:rsidR="00705902" w:rsidRPr="003A332E">
        <w:rPr>
          <w:i/>
        </w:rPr>
        <w:t>interference avoidance</w:t>
      </w:r>
      <w:r w:rsidR="00705902">
        <w:t xml:space="preserve"> and </w:t>
      </w:r>
      <w:r w:rsidR="00705902" w:rsidRPr="003A332E">
        <w:rPr>
          <w:i/>
        </w:rPr>
        <w:t>improved link adaption</w:t>
      </w:r>
      <w:r w:rsidR="005F259B">
        <w:t xml:space="preserve">, which </w:t>
      </w:r>
      <w:r w:rsidR="005D64A1">
        <w:t>are actions that may be done through implementation.</w:t>
      </w:r>
      <w:r w:rsidR="000B6DFA">
        <w:t xml:space="preserve"> But </w:t>
      </w:r>
      <w:proofErr w:type="gramStart"/>
      <w:r w:rsidR="000B6DFA">
        <w:t>in order to</w:t>
      </w:r>
      <w:proofErr w:type="gramEnd"/>
      <w:r w:rsidR="000B6DFA">
        <w:t xml:space="preserve"> apply </w:t>
      </w:r>
      <w:r w:rsidR="00EA6362">
        <w:t xml:space="preserve">procedures to mitigate the UE-to-UE CLI there is a need to perform measurements to </w:t>
      </w:r>
      <w:r w:rsidR="00285E54">
        <w:t>detect the occurrence as it is likely that this interference</w:t>
      </w:r>
      <w:r w:rsidR="00A77817">
        <w:t xml:space="preserve"> would</w:t>
      </w:r>
      <w:r w:rsidR="009B7A6F">
        <w:t xml:space="preserve"> only</w:t>
      </w:r>
      <w:r w:rsidR="00A77817">
        <w:t xml:space="preserve"> be subject to a subset of UEs</w:t>
      </w:r>
      <w:r w:rsidR="00946A8D">
        <w:t xml:space="preserve">, </w:t>
      </w:r>
      <w:proofErr w:type="spellStart"/>
      <w:r w:rsidR="00946A8D">
        <w:t>i.e</w:t>
      </w:r>
      <w:proofErr w:type="spellEnd"/>
      <w:r w:rsidR="00A77817">
        <w:t xml:space="preserve"> UEs on the cell edge. </w:t>
      </w:r>
      <w:r w:rsidR="00C13509">
        <w:t>There is thus a need to introduce measurement</w:t>
      </w:r>
      <w:r w:rsidR="0042313F">
        <w:t xml:space="preserve"> reporting</w:t>
      </w:r>
      <w:r w:rsidR="00C13509">
        <w:t xml:space="preserve"> schemes to detect the UE-to-UE CLI before </w:t>
      </w:r>
      <w:r w:rsidR="00C6123A">
        <w:t>the network can employ measures</w:t>
      </w:r>
      <w:r w:rsidR="006E6603">
        <w:t xml:space="preserve"> such as the above</w:t>
      </w:r>
      <w:r w:rsidR="00C6123A">
        <w:t xml:space="preserve"> to mitigate the effect</w:t>
      </w:r>
      <w:r w:rsidR="00120259">
        <w:t>s</w:t>
      </w:r>
      <w:r w:rsidR="00C6123A">
        <w:t>.</w:t>
      </w:r>
      <w:r w:rsidR="003D466E">
        <w:t xml:space="preserve"> </w:t>
      </w:r>
    </w:p>
    <w:p w14:paraId="4B0CB3EB" w14:textId="455DAD00" w:rsidR="00263434" w:rsidRDefault="00BF3225" w:rsidP="00CE0424">
      <w:pPr>
        <w:pStyle w:val="Observation"/>
      </w:pPr>
      <w:bookmarkStart w:id="6" w:name="_Toc4669407"/>
      <w:bookmarkStart w:id="7" w:name="_Toc7509124"/>
      <w:bookmarkStart w:id="8" w:name="_Toc7736389"/>
      <w:r>
        <w:t>There is a need to introduce measurement</w:t>
      </w:r>
      <w:r w:rsidR="0042313F">
        <w:t xml:space="preserve"> reporting</w:t>
      </w:r>
      <w:r>
        <w:t xml:space="preserve"> scheme to detect the UE-to-UE Cross-Link Interference.</w:t>
      </w:r>
      <w:bookmarkEnd w:id="6"/>
      <w:bookmarkEnd w:id="7"/>
      <w:bookmarkEnd w:id="8"/>
    </w:p>
    <w:p w14:paraId="494277EB" w14:textId="77777777" w:rsidR="003742AC" w:rsidRPr="00CE0424" w:rsidRDefault="003742AC" w:rsidP="006E062C"/>
    <w:p w14:paraId="42C64211" w14:textId="12E20EB6" w:rsidR="00F66FD9" w:rsidRDefault="001770AF">
      <w:pPr>
        <w:pStyle w:val="Heading1"/>
      </w:pPr>
      <w:r>
        <w:t>Measurement framework and CLI</w:t>
      </w:r>
    </w:p>
    <w:p w14:paraId="5B467E3B" w14:textId="77777777" w:rsidR="001770AF" w:rsidRDefault="001770AF" w:rsidP="001770AF">
      <w:r>
        <w:t xml:space="preserve">RRC already provides a framework for measuring and reporting measurements in RRC_CONNECTED mode. The measurement reporting scheme is seen in Figure 2.  </w:t>
      </w:r>
    </w:p>
    <w:p w14:paraId="3A658B47" w14:textId="77777777" w:rsidR="001770AF" w:rsidRDefault="001770AF" w:rsidP="001770AF"/>
    <w:p w14:paraId="649D0792" w14:textId="77777777" w:rsidR="001770AF" w:rsidRDefault="001770AF" w:rsidP="001770AF">
      <w:pPr>
        <w:keepNext/>
        <w:jc w:val="center"/>
      </w:pPr>
      <w:r w:rsidRPr="00645E3C">
        <w:rPr>
          <w:noProof/>
        </w:rPr>
        <w:object w:dxaOrig="3465" w:dyaOrig="1575" w14:anchorId="11B42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3.25pt;height:78.75pt" o:ole="">
            <v:imagedata r:id="rId15" o:title=""/>
          </v:shape>
          <o:OLEObject Type="Embed" ProgID="Mscgen.Chart" ShapeID="_x0000_i1033" DrawAspect="Content" ObjectID="_1618349243" r:id="rId16"/>
        </w:object>
      </w:r>
    </w:p>
    <w:p w14:paraId="773851A4" w14:textId="77777777" w:rsidR="001770AF" w:rsidRDefault="001770AF" w:rsidP="001770AF">
      <w:pPr>
        <w:pStyle w:val="Caption"/>
        <w:rPr>
          <w:noProof/>
        </w:rPr>
      </w:pPr>
      <w:r>
        <w:t xml:space="preserve">Figure </w:t>
      </w:r>
      <w:r>
        <w:fldChar w:fldCharType="begin"/>
      </w:r>
      <w:r>
        <w:instrText xml:space="preserve"> SEQ Figure \* ARABIC </w:instrText>
      </w:r>
      <w:r>
        <w:fldChar w:fldCharType="separate"/>
      </w:r>
      <w:r>
        <w:rPr>
          <w:noProof/>
        </w:rPr>
        <w:t>2</w:t>
      </w:r>
      <w:r>
        <w:fldChar w:fldCharType="end"/>
      </w:r>
      <w:r>
        <w:t>. Measurement</w:t>
      </w:r>
    </w:p>
    <w:p w14:paraId="46A0E61B" w14:textId="77777777" w:rsidR="001770AF" w:rsidRDefault="001770AF" w:rsidP="001770AF">
      <w:pPr>
        <w:jc w:val="left"/>
      </w:pPr>
    </w:p>
    <w:p w14:paraId="25A87872" w14:textId="77777777" w:rsidR="001770AF" w:rsidRDefault="001770AF" w:rsidP="001770AF">
      <w:pPr>
        <w:jc w:val="left"/>
      </w:pPr>
      <w:r>
        <w:t>According to TS 38.331 the measurement and reporting configuration includes a general set of 5 parameters:</w:t>
      </w:r>
    </w:p>
    <w:p w14:paraId="4B2170B3" w14:textId="77777777" w:rsidR="001770AF" w:rsidRDefault="001770AF" w:rsidP="001770AF">
      <w:pPr>
        <w:jc w:val="left"/>
      </w:pPr>
      <w:r>
        <w:t>----------------------------------------------------------------------------------------------------------------------------------</w:t>
      </w:r>
    </w:p>
    <w:p w14:paraId="5CED6136" w14:textId="77777777" w:rsidR="001770AF" w:rsidRPr="00645E3C" w:rsidRDefault="001770AF" w:rsidP="001770AF">
      <w:pPr>
        <w:pStyle w:val="B1"/>
      </w:pPr>
      <w:r w:rsidRPr="00645E3C">
        <w:rPr>
          <w:b/>
        </w:rPr>
        <w:t>1.</w:t>
      </w:r>
      <w:r w:rsidRPr="00645E3C">
        <w:rPr>
          <w:b/>
        </w:rPr>
        <w:tab/>
        <w:t>Measurement objects:</w:t>
      </w:r>
      <w:r w:rsidRPr="00645E3C">
        <w:t xml:space="preserve"> A list of objects on which the UE shall perform the measurements.</w:t>
      </w:r>
    </w:p>
    <w:p w14:paraId="19B73AD2" w14:textId="4D387BC5" w:rsidR="001770AF" w:rsidRPr="00645E3C" w:rsidRDefault="001770AF" w:rsidP="001770AF">
      <w:pPr>
        <w:pStyle w:val="B1"/>
      </w:pPr>
      <w:r w:rsidRPr="00645E3C">
        <w:rPr>
          <w:b/>
        </w:rPr>
        <w:t>2.</w:t>
      </w:r>
      <w:r w:rsidRPr="00645E3C">
        <w:rPr>
          <w:b/>
        </w:rPr>
        <w:tab/>
        <w:t xml:space="preserve">Reporting configurations: </w:t>
      </w:r>
      <w:r w:rsidRPr="00645E3C">
        <w:t xml:space="preserve">A list of reporting configurations where there can be one or multiple reporting configurations per measurement object. </w:t>
      </w:r>
    </w:p>
    <w:p w14:paraId="25585AD7" w14:textId="77777777" w:rsidR="001770AF" w:rsidRPr="00645E3C" w:rsidRDefault="001770AF" w:rsidP="001770AF">
      <w:pPr>
        <w:pStyle w:val="B1"/>
      </w:pPr>
      <w:r w:rsidRPr="00645E3C">
        <w:rPr>
          <w:b/>
        </w:rPr>
        <w:t>3.</w:t>
      </w:r>
      <w:r w:rsidRPr="00645E3C">
        <w:rPr>
          <w:b/>
        </w:rPr>
        <w:tab/>
        <w:t>Measurement identities:</w:t>
      </w:r>
      <w:r w:rsidRPr="00645E3C">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9A1A7B2" w14:textId="77777777" w:rsidR="001770AF" w:rsidRPr="00645E3C" w:rsidRDefault="001770AF" w:rsidP="001770AF">
      <w:pPr>
        <w:pStyle w:val="B1"/>
      </w:pPr>
      <w:r w:rsidRPr="00645E3C">
        <w:rPr>
          <w:b/>
        </w:rPr>
        <w:lastRenderedPageBreak/>
        <w:t>4.</w:t>
      </w:r>
      <w:r w:rsidRPr="00645E3C">
        <w:rPr>
          <w:b/>
        </w:rPr>
        <w:tab/>
        <w:t>Quantity configurations:</w:t>
      </w:r>
      <w:r w:rsidRPr="00645E3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9AB3D57" w14:textId="77777777" w:rsidR="001770AF" w:rsidRDefault="001770AF" w:rsidP="001770AF">
      <w:pPr>
        <w:pStyle w:val="B1"/>
      </w:pPr>
      <w:r w:rsidRPr="00645E3C">
        <w:rPr>
          <w:b/>
        </w:rPr>
        <w:t>5.</w:t>
      </w:r>
      <w:r w:rsidRPr="00645E3C">
        <w:rPr>
          <w:b/>
        </w:rPr>
        <w:tab/>
        <w:t xml:space="preserve">Measurement gaps: </w:t>
      </w:r>
      <w:r w:rsidRPr="00645E3C">
        <w:t>Periods that the UE may use to perform measurements.</w:t>
      </w:r>
    </w:p>
    <w:p w14:paraId="195D1F1B" w14:textId="77777777" w:rsidR="001770AF" w:rsidRDefault="001770AF" w:rsidP="001770AF">
      <w:pPr>
        <w:pStyle w:val="B1"/>
        <w:ind w:left="0" w:firstLine="0"/>
      </w:pPr>
      <w:r>
        <w:t>------------------------------------------------------------------------------------------------------------------------------------</w:t>
      </w:r>
    </w:p>
    <w:p w14:paraId="22A8929D" w14:textId="77777777" w:rsidR="001770AF" w:rsidRPr="00461AED" w:rsidRDefault="001770AF" w:rsidP="001770AF">
      <w:pPr>
        <w:pStyle w:val="B1"/>
        <w:ind w:left="0" w:firstLine="0"/>
      </w:pPr>
    </w:p>
    <w:p w14:paraId="380D573E" w14:textId="77777777" w:rsidR="001770AF" w:rsidRDefault="001770AF" w:rsidP="001770AF">
      <w:pPr>
        <w:pStyle w:val="BodyText"/>
        <w:jc w:val="center"/>
      </w:pPr>
      <w:r>
        <w:object w:dxaOrig="6166" w:dyaOrig="4936" w14:anchorId="479286B4">
          <v:shape id="_x0000_i1034" type="#_x0000_t75" style="width:308.25pt;height:246.75pt" o:ole="">
            <v:imagedata r:id="rId17" o:title=""/>
          </v:shape>
          <o:OLEObject Type="Embed" ProgID="Visio.Drawing.15" ShapeID="_x0000_i1034" DrawAspect="Content" ObjectID="_1618349244" r:id="rId18"/>
        </w:object>
      </w:r>
    </w:p>
    <w:p w14:paraId="7A5CE8FC" w14:textId="671540D7" w:rsidR="00F66FD9" w:rsidRPr="00402ACF" w:rsidRDefault="001770AF" w:rsidP="006A256A">
      <w:pPr>
        <w:pStyle w:val="Caption"/>
      </w:pPr>
      <w:r>
        <w:t>Figure 2: Illustration of NR measurement configuration.</w:t>
      </w:r>
    </w:p>
    <w:p w14:paraId="40405B27" w14:textId="080445DB" w:rsidR="001770AF" w:rsidRDefault="00466A40" w:rsidP="001770AF">
      <w:pPr>
        <w:pStyle w:val="Heading2"/>
      </w:pPr>
      <w:r>
        <w:t>Impact of CLI</w:t>
      </w:r>
    </w:p>
    <w:p w14:paraId="2AD15B3C" w14:textId="4853FEE6" w:rsidR="00466A40" w:rsidRDefault="00466A40" w:rsidP="00466A40">
      <w:pPr>
        <w:jc w:val="left"/>
      </w:pPr>
      <w:r>
        <w:t xml:space="preserve">As the measurement framework is typically defined by measuring on serving and neighbouring cells, such as SS/PBCH blocks(s) and/or CSI-RS resources, there is a need to consider how this framework can be adapted to measure on Cross-Link Interference resources. In the LS </w:t>
      </w:r>
      <w:r w:rsidR="00872C32">
        <w:t>from RAN1</w:t>
      </w:r>
      <w:r>
        <w:t xml:space="preserve">, the details of the measurement resources were included. </w:t>
      </w:r>
    </w:p>
    <w:p w14:paraId="3CA5D75A" w14:textId="77777777" w:rsidR="00466A40" w:rsidRPr="00CE0424" w:rsidRDefault="00466A40" w:rsidP="00466A40">
      <w:pPr>
        <w:pStyle w:val="Observation"/>
      </w:pPr>
      <w:bookmarkStart w:id="9" w:name="_Toc7509125"/>
      <w:bookmarkStart w:id="10" w:name="_Toc7736390"/>
      <w:r>
        <w:t>There is a need to consider how the measurement configuration framework can be adapted to support the cross-link interference use-case.</w:t>
      </w:r>
      <w:bookmarkEnd w:id="9"/>
      <w:bookmarkEnd w:id="10"/>
    </w:p>
    <w:p w14:paraId="41436745" w14:textId="11D350D0" w:rsidR="00466A40" w:rsidRDefault="00466A40" w:rsidP="00466A40">
      <w:pPr>
        <w:jc w:val="left"/>
      </w:pPr>
      <w:r>
        <w:t>What needs to be highlighted is the difference between use-cases of current L3 measurement framework, where the major use-case is mobility. In this case the use-case of CLI-measurement is to report interference. While it is up to network implementation, the reporting of interference is expected to cause action on the network side that would either reduce the interference or overcome interference, possibly through resource allocation or similar.</w:t>
      </w:r>
      <w:r w:rsidR="00B55781">
        <w:t xml:space="preserve"> This should be </w:t>
      </w:r>
      <w:proofErr w:type="gramStart"/>
      <w:r w:rsidR="00B55781">
        <w:t>taken into account</w:t>
      </w:r>
      <w:proofErr w:type="gramEnd"/>
      <w:r w:rsidR="00B55781">
        <w:t xml:space="preserve">. </w:t>
      </w:r>
    </w:p>
    <w:p w14:paraId="51DD9829" w14:textId="77777777" w:rsidR="00466A40" w:rsidRPr="00CE0424" w:rsidRDefault="00466A40" w:rsidP="00466A40">
      <w:pPr>
        <w:pStyle w:val="Observation"/>
      </w:pPr>
      <w:bookmarkStart w:id="11" w:name="_Toc7509126"/>
      <w:bookmarkStart w:id="12" w:name="_Toc7736391"/>
      <w:r>
        <w:t>The use-case of current measurement framework is different from what is expected from Cross-Link Interference measurements.</w:t>
      </w:r>
      <w:bookmarkEnd w:id="11"/>
      <w:bookmarkEnd w:id="12"/>
    </w:p>
    <w:p w14:paraId="3D232B6B" w14:textId="7DE048D1" w:rsidR="00466A40" w:rsidRDefault="00466A40" w:rsidP="00466A40">
      <w:pPr>
        <w:jc w:val="left"/>
      </w:pPr>
    </w:p>
    <w:p w14:paraId="20567449" w14:textId="083FAD49" w:rsidR="005348D6" w:rsidRDefault="005348D6" w:rsidP="00466A40">
      <w:pPr>
        <w:jc w:val="left"/>
      </w:pPr>
      <w:r>
        <w:t xml:space="preserve">For the </w:t>
      </w:r>
      <w:r w:rsidR="00E14916">
        <w:t xml:space="preserve">measurement framework, we analyse </w:t>
      </w:r>
      <w:r w:rsidR="0071652D">
        <w:t>the 5 general sets of parameters</w:t>
      </w:r>
      <w:r w:rsidR="002E323D">
        <w:t xml:space="preserve"> from a Cross-Link Interference perspective</w:t>
      </w:r>
      <w:r w:rsidR="0071652D">
        <w:t>:</w:t>
      </w:r>
    </w:p>
    <w:p w14:paraId="4F425D3F" w14:textId="041CFB24" w:rsidR="0071652D" w:rsidRPr="00645E3C" w:rsidRDefault="0071652D" w:rsidP="0071652D">
      <w:pPr>
        <w:pStyle w:val="B1"/>
      </w:pPr>
      <w:r w:rsidRPr="00645E3C">
        <w:rPr>
          <w:b/>
        </w:rPr>
        <w:t>1.</w:t>
      </w:r>
      <w:r w:rsidRPr="00645E3C">
        <w:rPr>
          <w:b/>
        </w:rPr>
        <w:tab/>
        <w:t>Measurement object:</w:t>
      </w:r>
      <w:r w:rsidRPr="00645E3C">
        <w:t xml:space="preserve"> </w:t>
      </w:r>
      <w:r w:rsidR="00653F4C">
        <w:t xml:space="preserve">The question here revolves around how to implement the measurement object in an efficient way, making sure that the functionality </w:t>
      </w:r>
      <w:r w:rsidR="00CD326D">
        <w:t>is of current framework is maintained.</w:t>
      </w:r>
      <w:r w:rsidR="00B64183">
        <w:t xml:space="preserve"> This is addressed in [</w:t>
      </w:r>
      <w:r w:rsidR="00DC3FE7">
        <w:t>3</w:t>
      </w:r>
      <w:r w:rsidR="00B64183">
        <w:t>].</w:t>
      </w:r>
    </w:p>
    <w:p w14:paraId="40002735" w14:textId="7C2C8B3F" w:rsidR="0071652D" w:rsidRPr="00645E3C" w:rsidRDefault="0071652D" w:rsidP="0071652D">
      <w:pPr>
        <w:pStyle w:val="B1"/>
      </w:pPr>
      <w:r w:rsidRPr="00645E3C">
        <w:rPr>
          <w:b/>
        </w:rPr>
        <w:lastRenderedPageBreak/>
        <w:t>2.</w:t>
      </w:r>
      <w:r w:rsidRPr="00645E3C">
        <w:rPr>
          <w:b/>
        </w:rPr>
        <w:tab/>
        <w:t xml:space="preserve">Reporting configurations: </w:t>
      </w:r>
      <w:r w:rsidR="00AD59AF">
        <w:t>How does the reporting configuration need to change if one is no longer reporting cells</w:t>
      </w:r>
      <w:r w:rsidR="00EB171C">
        <w:t xml:space="preserve"> but rather reporting measurement resources?</w:t>
      </w:r>
      <w:r w:rsidR="00291A04">
        <w:t xml:space="preserve"> This is addressed in [</w:t>
      </w:r>
      <w:r w:rsidR="002535AB">
        <w:t>4</w:t>
      </w:r>
      <w:r w:rsidR="00291A04">
        <w:t>].</w:t>
      </w:r>
    </w:p>
    <w:p w14:paraId="60ECF69E" w14:textId="1125476D" w:rsidR="0071652D" w:rsidRPr="00645E3C" w:rsidRDefault="0071652D" w:rsidP="0071652D">
      <w:pPr>
        <w:pStyle w:val="B1"/>
      </w:pPr>
      <w:r w:rsidRPr="00645E3C">
        <w:rPr>
          <w:b/>
        </w:rPr>
        <w:t>3.</w:t>
      </w:r>
      <w:r w:rsidRPr="00645E3C">
        <w:rPr>
          <w:b/>
        </w:rPr>
        <w:tab/>
        <w:t>Measurement identities:</w:t>
      </w:r>
      <w:r w:rsidRPr="00645E3C">
        <w:t xml:space="preserve"> </w:t>
      </w:r>
      <w:r w:rsidR="00855B38">
        <w:t>No expected impact for CLI here</w:t>
      </w:r>
      <w:r w:rsidR="00243BE3">
        <w:t xml:space="preserve"> as </w:t>
      </w:r>
      <w:r w:rsidR="0091738A">
        <w:t>the framework is only a way to link reporting configurations with measurement objects.</w:t>
      </w:r>
    </w:p>
    <w:p w14:paraId="7DBDE77B" w14:textId="05692D54" w:rsidR="0071652D" w:rsidRPr="00645E3C" w:rsidRDefault="0071652D" w:rsidP="0071652D">
      <w:pPr>
        <w:pStyle w:val="B1"/>
      </w:pPr>
      <w:r w:rsidRPr="00645E3C">
        <w:rPr>
          <w:b/>
        </w:rPr>
        <w:t>4.</w:t>
      </w:r>
      <w:r w:rsidRPr="00645E3C">
        <w:rPr>
          <w:b/>
        </w:rPr>
        <w:tab/>
        <w:t>Quantity configurations:</w:t>
      </w:r>
      <w:r w:rsidRPr="00645E3C">
        <w:t xml:space="preserve"> The </w:t>
      </w:r>
      <w:r w:rsidR="0091279E">
        <w:t xml:space="preserve">quantity configuration includes </w:t>
      </w:r>
      <w:r w:rsidR="00670F11">
        <w:t xml:space="preserve">Layer-3 filtering which is an important feature and the question is how this applies to CLI. </w:t>
      </w:r>
      <w:r w:rsidR="00A0696C">
        <w:t>Layer-3 filtering</w:t>
      </w:r>
      <w:r w:rsidR="00291A04">
        <w:t xml:space="preserve"> is addressed in [</w:t>
      </w:r>
      <w:r w:rsidR="00A0696C">
        <w:t>5</w:t>
      </w:r>
      <w:r w:rsidR="00291A04">
        <w:t>].</w:t>
      </w:r>
    </w:p>
    <w:p w14:paraId="796662F3" w14:textId="454F97A7" w:rsidR="0071652D" w:rsidRDefault="0071652D" w:rsidP="0071652D">
      <w:pPr>
        <w:pStyle w:val="B1"/>
      </w:pPr>
      <w:r w:rsidRPr="00645E3C">
        <w:rPr>
          <w:b/>
        </w:rPr>
        <w:t>5.</w:t>
      </w:r>
      <w:r w:rsidRPr="00645E3C">
        <w:rPr>
          <w:b/>
        </w:rPr>
        <w:tab/>
        <w:t xml:space="preserve">Measurement gaps: </w:t>
      </w:r>
      <w:r w:rsidR="00123E65">
        <w:t xml:space="preserve">The problem is whether measurement gaps are required for CLI. </w:t>
      </w:r>
      <w:r w:rsidR="001C3664">
        <w:t xml:space="preserve">This </w:t>
      </w:r>
      <w:r w:rsidR="00983267">
        <w:t>is</w:t>
      </w:r>
      <w:r w:rsidR="001C3664">
        <w:t xml:space="preserve"> FFS.</w:t>
      </w:r>
    </w:p>
    <w:p w14:paraId="3C126A2F" w14:textId="6C5DC6F2" w:rsidR="005348D6" w:rsidRDefault="001B575A" w:rsidP="00466A40">
      <w:pPr>
        <w:jc w:val="left"/>
      </w:pPr>
      <w:r>
        <w:t xml:space="preserve">Of the main questions surrounding CLI, the major question that was not </w:t>
      </w:r>
      <w:r w:rsidR="00C80EEC">
        <w:t xml:space="preserve">discussed in RAN1 </w:t>
      </w:r>
      <w:r w:rsidR="001F295A">
        <w:t xml:space="preserve">which </w:t>
      </w:r>
      <w:r w:rsidR="00C80EEC">
        <w:t xml:space="preserve">is in </w:t>
      </w:r>
      <w:r w:rsidR="001F295A">
        <w:t>our understanding</w:t>
      </w:r>
      <w:r w:rsidR="00C80EEC">
        <w:t xml:space="preserve"> </w:t>
      </w:r>
      <w:r w:rsidR="00A220D7">
        <w:t>up to RAN2 to decide is whether periodical or event-triggered measurement reporting is applied</w:t>
      </w:r>
      <w:r w:rsidR="00CA6FC8">
        <w:t xml:space="preserve"> to CLI measurements</w:t>
      </w:r>
      <w:r w:rsidR="00A220D7">
        <w:t xml:space="preserve">. </w:t>
      </w:r>
    </w:p>
    <w:p w14:paraId="26F89DFB" w14:textId="2F6B56ED" w:rsidR="00466A40" w:rsidRPr="00402ACF" w:rsidRDefault="00C23744" w:rsidP="00CC4B24">
      <w:pPr>
        <w:pStyle w:val="Proposal"/>
      </w:pPr>
      <w:bookmarkStart w:id="13" w:name="_Toc7172443"/>
      <w:bookmarkStart w:id="14" w:name="_Toc7180160"/>
      <w:bookmarkStart w:id="15" w:name="_Toc7736392"/>
      <w:r>
        <w:t xml:space="preserve">RAN2 </w:t>
      </w:r>
      <w:r w:rsidR="004856DC">
        <w:t xml:space="preserve">to focus attention on whether event-triggered </w:t>
      </w:r>
      <w:r w:rsidR="00D22755">
        <w:t>and/</w:t>
      </w:r>
      <w:r w:rsidR="004856DC">
        <w:t xml:space="preserve">or </w:t>
      </w:r>
      <w:r w:rsidR="00D22755">
        <w:t>periodical reporting shall be introduced</w:t>
      </w:r>
      <w:r w:rsidRPr="00A04F49">
        <w:t>.</w:t>
      </w:r>
      <w:bookmarkEnd w:id="13"/>
      <w:bookmarkEnd w:id="14"/>
      <w:bookmarkEnd w:id="15"/>
    </w:p>
    <w:p w14:paraId="15FF5222" w14:textId="77777777" w:rsidR="00C01F33" w:rsidRPr="00CE0424" w:rsidRDefault="00C01F33" w:rsidP="00CE0424">
      <w:pPr>
        <w:pStyle w:val="Heading1"/>
      </w:pPr>
      <w:r w:rsidRPr="00CE0424">
        <w:t>Conclusion</w:t>
      </w:r>
    </w:p>
    <w:p w14:paraId="032433C1" w14:textId="23F4E0D2" w:rsidR="00723626" w:rsidRDefault="008E065E" w:rsidP="008E065E">
      <w:pPr>
        <w:pStyle w:val="BodyText"/>
      </w:pPr>
      <w:r>
        <w:t xml:space="preserve">In </w:t>
      </w:r>
      <w:r w:rsidR="00723626">
        <w:t>this contribution</w:t>
      </w:r>
      <w:r w:rsidRPr="00CE0424">
        <w:t xml:space="preserve"> we </w:t>
      </w:r>
      <w:r>
        <w:t>made the following observations</w:t>
      </w:r>
      <w:r w:rsidRPr="00CE0424">
        <w:t>:</w:t>
      </w:r>
    </w:p>
    <w:p w14:paraId="495149CD" w14:textId="77777777" w:rsidR="002E033A" w:rsidRPr="002E033A" w:rsidRDefault="002E033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t>Observation 1</w:t>
      </w:r>
      <w:r w:rsidRPr="002E033A">
        <w:rPr>
          <w:rFonts w:asciiTheme="minorHAnsi" w:eastAsiaTheme="minorEastAsia" w:hAnsiTheme="minorHAnsi" w:cstheme="minorBidi"/>
          <w:b w:val="0"/>
          <w:sz w:val="22"/>
          <w:lang w:eastAsia="sv-SE"/>
        </w:rPr>
        <w:tab/>
      </w:r>
      <w:r>
        <w:t>Due to near-far effect the UE-to-UE interference can in some instances be very large.</w:t>
      </w:r>
    </w:p>
    <w:p w14:paraId="4E892B3E" w14:textId="77777777" w:rsidR="002E033A" w:rsidRPr="002E033A" w:rsidRDefault="002E033A">
      <w:pPr>
        <w:pStyle w:val="TOC1"/>
        <w:rPr>
          <w:rFonts w:asciiTheme="minorHAnsi" w:eastAsiaTheme="minorEastAsia" w:hAnsiTheme="minorHAnsi" w:cstheme="minorBidi"/>
          <w:b w:val="0"/>
          <w:sz w:val="22"/>
          <w:lang w:eastAsia="sv-SE"/>
        </w:rPr>
      </w:pPr>
      <w:r>
        <w:t>Observation 2</w:t>
      </w:r>
      <w:r w:rsidRPr="002E033A">
        <w:rPr>
          <w:rFonts w:asciiTheme="minorHAnsi" w:eastAsiaTheme="minorEastAsia" w:hAnsiTheme="minorHAnsi" w:cstheme="minorBidi"/>
          <w:b w:val="0"/>
          <w:sz w:val="22"/>
          <w:lang w:eastAsia="sv-SE"/>
        </w:rPr>
        <w:tab/>
      </w:r>
      <w:r>
        <w:t>There is a need to introduce measurement reporting scheme to detect the UE-to-UE Cross-Link Interference.</w:t>
      </w:r>
    </w:p>
    <w:p w14:paraId="7F4CC755" w14:textId="77777777" w:rsidR="002E033A" w:rsidRPr="002E033A" w:rsidRDefault="002E033A">
      <w:pPr>
        <w:pStyle w:val="TOC1"/>
        <w:rPr>
          <w:rFonts w:asciiTheme="minorHAnsi" w:eastAsiaTheme="minorEastAsia" w:hAnsiTheme="minorHAnsi" w:cstheme="minorBidi"/>
          <w:b w:val="0"/>
          <w:sz w:val="22"/>
          <w:lang w:eastAsia="sv-SE"/>
        </w:rPr>
      </w:pPr>
      <w:r>
        <w:t>Observation 3</w:t>
      </w:r>
      <w:r w:rsidRPr="002E033A">
        <w:rPr>
          <w:rFonts w:asciiTheme="minorHAnsi" w:eastAsiaTheme="minorEastAsia" w:hAnsiTheme="minorHAnsi" w:cstheme="minorBidi"/>
          <w:b w:val="0"/>
          <w:sz w:val="22"/>
          <w:lang w:eastAsia="sv-SE"/>
        </w:rPr>
        <w:tab/>
      </w:r>
      <w:r>
        <w:t>There is a need to consider how the measurement configuration framework can be adapted to support the cross-link interference use-case.</w:t>
      </w:r>
    </w:p>
    <w:p w14:paraId="3F87F19A" w14:textId="77777777" w:rsidR="002E033A" w:rsidRPr="002E033A" w:rsidRDefault="002E033A">
      <w:pPr>
        <w:pStyle w:val="TOC1"/>
        <w:rPr>
          <w:rFonts w:asciiTheme="minorHAnsi" w:eastAsiaTheme="minorEastAsia" w:hAnsiTheme="minorHAnsi" w:cstheme="minorBidi"/>
          <w:b w:val="0"/>
          <w:sz w:val="22"/>
          <w:lang w:eastAsia="sv-SE"/>
        </w:rPr>
      </w:pPr>
      <w:r>
        <w:t>Observation 4</w:t>
      </w:r>
      <w:r w:rsidRPr="002E033A">
        <w:rPr>
          <w:rFonts w:asciiTheme="minorHAnsi" w:eastAsiaTheme="minorEastAsia" w:hAnsiTheme="minorHAnsi" w:cstheme="minorBidi"/>
          <w:b w:val="0"/>
          <w:sz w:val="22"/>
          <w:lang w:eastAsia="sv-SE"/>
        </w:rPr>
        <w:tab/>
      </w:r>
      <w:r>
        <w:t>The use-case of current measurement framework is different from what is expected from Cross-Link Interference measurements.</w:t>
      </w:r>
    </w:p>
    <w:p w14:paraId="29924D7C" w14:textId="07CC7280" w:rsidR="002E033A" w:rsidRDefault="002E033A" w:rsidP="002E033A">
      <w:pPr>
        <w:pStyle w:val="BodyText"/>
        <w:rPr>
          <w:b/>
          <w:bCs/>
        </w:rPr>
      </w:pPr>
      <w:r>
        <w:rPr>
          <w:b/>
          <w:bCs/>
        </w:rPr>
        <w:fldChar w:fldCharType="end"/>
      </w:r>
    </w:p>
    <w:p w14:paraId="6CB3669C" w14:textId="292CD898" w:rsidR="002E033A" w:rsidRDefault="002E033A" w:rsidP="002E033A">
      <w:pPr>
        <w:pStyle w:val="BodyText"/>
      </w:pPr>
      <w:r w:rsidRPr="00CE0424">
        <w:t>Based on the discussion</w:t>
      </w:r>
      <w:bookmarkStart w:id="16" w:name="_GoBack"/>
      <w:bookmarkEnd w:id="16"/>
      <w:r w:rsidRPr="00CE0424">
        <w:t xml:space="preserve"> we propose the following:</w:t>
      </w:r>
    </w:p>
    <w:p w14:paraId="566AA060" w14:textId="77777777" w:rsidR="002E033A" w:rsidRPr="002E033A" w:rsidRDefault="002E033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t>Proposal 1</w:t>
      </w:r>
      <w:r w:rsidRPr="002E033A">
        <w:rPr>
          <w:rFonts w:asciiTheme="minorHAnsi" w:eastAsiaTheme="minorEastAsia" w:hAnsiTheme="minorHAnsi" w:cstheme="minorBidi"/>
          <w:b w:val="0"/>
          <w:sz w:val="22"/>
          <w:lang w:eastAsia="sv-SE"/>
        </w:rPr>
        <w:tab/>
      </w:r>
      <w:r>
        <w:t>RAN2 to focus attention on whether event-triggered and/or periodical reporting shall be introduced.</w:t>
      </w:r>
    </w:p>
    <w:p w14:paraId="1EBEFFC8" w14:textId="6C1AACF8" w:rsidR="00723626" w:rsidRPr="00520875" w:rsidRDefault="002E033A" w:rsidP="002E033A">
      <w:pPr>
        <w:pStyle w:val="BodyText"/>
        <w:rPr>
          <w:b/>
          <w:bCs/>
        </w:rPr>
      </w:pPr>
      <w:r>
        <w:rPr>
          <w:b/>
          <w:bCs/>
        </w:rPr>
        <w:fldChar w:fldCharType="end"/>
      </w:r>
    </w:p>
    <w:p w14:paraId="2428EA14" w14:textId="77777777" w:rsidR="00F507D1" w:rsidRPr="00CE0424" w:rsidRDefault="00F507D1" w:rsidP="00CE0424">
      <w:pPr>
        <w:pStyle w:val="Heading1"/>
      </w:pPr>
      <w:bookmarkStart w:id="17" w:name="_In-sequence_SDU_delivery"/>
      <w:bookmarkEnd w:id="17"/>
      <w:r w:rsidRPr="00CE0424">
        <w:t>References</w:t>
      </w:r>
    </w:p>
    <w:p w14:paraId="1E4CABF6" w14:textId="77777777" w:rsidR="009B230A" w:rsidRPr="00003362" w:rsidRDefault="00E4404B" w:rsidP="009B230A">
      <w:pPr>
        <w:pStyle w:val="Reference"/>
      </w:pPr>
      <w:hyperlink r:id="rId19" w:history="1">
        <w:r w:rsidR="009B230A" w:rsidRPr="00E74601">
          <w:rPr>
            <w:rStyle w:val="Hyperlink"/>
            <w:lang w:eastAsia="x-none"/>
          </w:rPr>
          <w:t>RP-182864</w:t>
        </w:r>
      </w:hyperlink>
      <w:r w:rsidR="009B230A" w:rsidRPr="00E74601">
        <w:t>, “</w:t>
      </w:r>
      <w:r w:rsidR="009B230A" w:rsidRPr="00E74601">
        <w:rPr>
          <w:rFonts w:eastAsia="SimSun"/>
          <w:kern w:val="2"/>
        </w:rPr>
        <w:t xml:space="preserve">Revised WID on Cross Link Interference (CLI) handling and Remote Interference Management (RIM) for NR”, </w:t>
      </w:r>
      <w:r w:rsidR="009B230A">
        <w:rPr>
          <w:rFonts w:eastAsia="SimSun"/>
          <w:kern w:val="2"/>
        </w:rPr>
        <w:t>LG Electronics</w:t>
      </w:r>
    </w:p>
    <w:p w14:paraId="7657379B" w14:textId="39679ACA" w:rsidR="006E3CF1" w:rsidRDefault="009B230A" w:rsidP="009B230A">
      <w:pPr>
        <w:pStyle w:val="Reference"/>
      </w:pPr>
      <w:r w:rsidRPr="00003362">
        <w:t>TR</w:t>
      </w:r>
      <w:r>
        <w:t xml:space="preserve"> </w:t>
      </w:r>
      <w:r w:rsidRPr="00003362">
        <w:t>38.802</w:t>
      </w:r>
      <w:r>
        <w:t xml:space="preserve">, “Study on new radio access technology Physical layer </w:t>
      </w:r>
      <w:proofErr w:type="gramStart"/>
      <w:r>
        <w:t>aspects”</w:t>
      </w:r>
      <w:r w:rsidR="006E3CF1">
        <w:t>R</w:t>
      </w:r>
      <w:proofErr w:type="gramEnd"/>
      <w:r w:rsidR="006E3CF1">
        <w:t>2-190</w:t>
      </w:r>
      <w:r w:rsidR="000C34C5">
        <w:t>7335</w:t>
      </w:r>
      <w:r w:rsidR="006E3CF1">
        <w:t xml:space="preserve">, </w:t>
      </w:r>
      <w:r w:rsidR="008D3127">
        <w:t xml:space="preserve">On measurement object </w:t>
      </w:r>
      <w:r w:rsidR="00EB5D45">
        <w:t xml:space="preserve">for CLI, </w:t>
      </w:r>
      <w:r w:rsidR="006E4FE7">
        <w:t>Ericsson, RAN2#106, Reno, US</w:t>
      </w:r>
    </w:p>
    <w:p w14:paraId="56A9FD11" w14:textId="32DD9479" w:rsidR="009949C8" w:rsidRDefault="009949C8" w:rsidP="009B230A">
      <w:pPr>
        <w:pStyle w:val="Reference"/>
      </w:pPr>
      <w:r>
        <w:t>R2-</w:t>
      </w:r>
      <w:r w:rsidR="00F27810">
        <w:t>1907335, On measurement object for CLI, Ericsson, RAN2#106, Reno, Nevada, US</w:t>
      </w:r>
    </w:p>
    <w:p w14:paraId="07D027AE" w14:textId="3D6B0D6A" w:rsidR="00DC3FE7" w:rsidRDefault="00DC3FE7" w:rsidP="009B230A">
      <w:pPr>
        <w:pStyle w:val="Reference"/>
      </w:pPr>
      <w:r>
        <w:t>R2-190</w:t>
      </w:r>
      <w:r w:rsidR="00752E85">
        <w:t>5888</w:t>
      </w:r>
      <w:r>
        <w:t>, Discussion on CLI reporting method and criterion,</w:t>
      </w:r>
      <w:r w:rsidR="00F27810">
        <w:t xml:space="preserve"> Ericsson,</w:t>
      </w:r>
      <w:r>
        <w:t xml:space="preserve"> RAN2#106, Reno, US</w:t>
      </w:r>
    </w:p>
    <w:p w14:paraId="079C50D6" w14:textId="1A3CBE1A" w:rsidR="00463AE4" w:rsidRDefault="00453B69" w:rsidP="009B230A">
      <w:pPr>
        <w:pStyle w:val="Reference"/>
      </w:pPr>
      <w:r>
        <w:t>R2-190</w:t>
      </w:r>
      <w:r w:rsidR="00752E85">
        <w:t>5889</w:t>
      </w:r>
      <w:r>
        <w:t>, Discussion on L3 filtering for SRS-RSRP and CLI RSSI measurement</w:t>
      </w:r>
      <w:r w:rsidR="00F6309D">
        <w:t xml:space="preserve"> reports</w:t>
      </w:r>
      <w:r>
        <w:t>,</w:t>
      </w:r>
      <w:r w:rsidR="00F27810">
        <w:t xml:space="preserve"> Ericsson,</w:t>
      </w:r>
      <w:r w:rsidR="00F6309D">
        <w:t xml:space="preserve"> RAN2#106, Reno, US</w:t>
      </w:r>
      <w:r>
        <w:t xml:space="preserve"> </w:t>
      </w:r>
    </w:p>
    <w:p w14:paraId="7801EA81"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A5B17" w14:textId="77777777" w:rsidR="00E4404B" w:rsidRDefault="00E4404B">
      <w:r>
        <w:separator/>
      </w:r>
    </w:p>
  </w:endnote>
  <w:endnote w:type="continuationSeparator" w:id="0">
    <w:p w14:paraId="6ECAA138" w14:textId="77777777" w:rsidR="00E4404B" w:rsidRDefault="00E4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1B1CB" w14:textId="77777777" w:rsidR="00E4404B" w:rsidRDefault="00E4404B">
      <w:r>
        <w:separator/>
      </w:r>
    </w:p>
  </w:footnote>
  <w:footnote w:type="continuationSeparator" w:id="0">
    <w:p w14:paraId="32135D5A" w14:textId="77777777" w:rsidR="00E4404B" w:rsidRDefault="00E4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16"/>
  </w:num>
  <w:num w:numId="17">
    <w:abstractNumId w:val="14"/>
  </w:num>
  <w:num w:numId="18">
    <w:abstractNumId w:val="8"/>
  </w:num>
  <w:num w:numId="19">
    <w:abstractNumId w:val="21"/>
  </w:num>
  <w:num w:numId="20">
    <w:abstractNumId w:val="20"/>
  </w:num>
  <w:num w:numId="21">
    <w:abstractNumId w:val="23"/>
  </w:num>
  <w:num w:numId="22">
    <w:abstractNumId w:val="7"/>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CDC"/>
    <w:rsid w:val="00011B28"/>
    <w:rsid w:val="000150E3"/>
    <w:rsid w:val="00015D15"/>
    <w:rsid w:val="0002564D"/>
    <w:rsid w:val="00025ECA"/>
    <w:rsid w:val="000325B8"/>
    <w:rsid w:val="00034C15"/>
    <w:rsid w:val="00036BA1"/>
    <w:rsid w:val="00037FBA"/>
    <w:rsid w:val="000418F2"/>
    <w:rsid w:val="000422E2"/>
    <w:rsid w:val="00042F22"/>
    <w:rsid w:val="000444EF"/>
    <w:rsid w:val="00052A07"/>
    <w:rsid w:val="000534E3"/>
    <w:rsid w:val="0005606A"/>
    <w:rsid w:val="00056F8F"/>
    <w:rsid w:val="00057117"/>
    <w:rsid w:val="000616E7"/>
    <w:rsid w:val="0006487E"/>
    <w:rsid w:val="00065E1A"/>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61E9"/>
    <w:rsid w:val="000B6DFA"/>
    <w:rsid w:val="000C165A"/>
    <w:rsid w:val="000C2E19"/>
    <w:rsid w:val="000C34C5"/>
    <w:rsid w:val="000C3B05"/>
    <w:rsid w:val="000D0D07"/>
    <w:rsid w:val="000D4797"/>
    <w:rsid w:val="000E0527"/>
    <w:rsid w:val="000E10E5"/>
    <w:rsid w:val="000E1E92"/>
    <w:rsid w:val="000E4FF1"/>
    <w:rsid w:val="000F06D6"/>
    <w:rsid w:val="000F0EB1"/>
    <w:rsid w:val="000F1106"/>
    <w:rsid w:val="000F2AF5"/>
    <w:rsid w:val="000F3BE9"/>
    <w:rsid w:val="000F3F6C"/>
    <w:rsid w:val="000F6DF3"/>
    <w:rsid w:val="001005FF"/>
    <w:rsid w:val="00101052"/>
    <w:rsid w:val="001062FB"/>
    <w:rsid w:val="001063E6"/>
    <w:rsid w:val="0010765E"/>
    <w:rsid w:val="00112235"/>
    <w:rsid w:val="00113CF4"/>
    <w:rsid w:val="001153EA"/>
    <w:rsid w:val="00115643"/>
    <w:rsid w:val="00116765"/>
    <w:rsid w:val="00120259"/>
    <w:rsid w:val="001219F5"/>
    <w:rsid w:val="00121A20"/>
    <w:rsid w:val="0012377F"/>
    <w:rsid w:val="00123E65"/>
    <w:rsid w:val="00124314"/>
    <w:rsid w:val="00124884"/>
    <w:rsid w:val="00126B4A"/>
    <w:rsid w:val="00132FD0"/>
    <w:rsid w:val="001344C0"/>
    <w:rsid w:val="001346FA"/>
    <w:rsid w:val="00135252"/>
    <w:rsid w:val="00137AB5"/>
    <w:rsid w:val="00137F0B"/>
    <w:rsid w:val="00151E23"/>
    <w:rsid w:val="001521A6"/>
    <w:rsid w:val="001526E0"/>
    <w:rsid w:val="001551B5"/>
    <w:rsid w:val="001659C1"/>
    <w:rsid w:val="00173A8E"/>
    <w:rsid w:val="001770AF"/>
    <w:rsid w:val="00177795"/>
    <w:rsid w:val="0018135D"/>
    <w:rsid w:val="0018143F"/>
    <w:rsid w:val="0018182D"/>
    <w:rsid w:val="00190AC1"/>
    <w:rsid w:val="0019341A"/>
    <w:rsid w:val="00197DF9"/>
    <w:rsid w:val="001A1987"/>
    <w:rsid w:val="001A1D73"/>
    <w:rsid w:val="001A2564"/>
    <w:rsid w:val="001A2618"/>
    <w:rsid w:val="001A3109"/>
    <w:rsid w:val="001A457C"/>
    <w:rsid w:val="001A6173"/>
    <w:rsid w:val="001A6CBA"/>
    <w:rsid w:val="001B0D97"/>
    <w:rsid w:val="001B575A"/>
    <w:rsid w:val="001B5A5D"/>
    <w:rsid w:val="001C1523"/>
    <w:rsid w:val="001C1CE5"/>
    <w:rsid w:val="001C3664"/>
    <w:rsid w:val="001C3D2A"/>
    <w:rsid w:val="001C7608"/>
    <w:rsid w:val="001D51BA"/>
    <w:rsid w:val="001D6342"/>
    <w:rsid w:val="001D6D53"/>
    <w:rsid w:val="001E58E2"/>
    <w:rsid w:val="001E7AED"/>
    <w:rsid w:val="001F295A"/>
    <w:rsid w:val="001F3916"/>
    <w:rsid w:val="001F54C5"/>
    <w:rsid w:val="001F662C"/>
    <w:rsid w:val="001F7074"/>
    <w:rsid w:val="00200490"/>
    <w:rsid w:val="00201F3A"/>
    <w:rsid w:val="002022C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BE3"/>
    <w:rsid w:val="002458EB"/>
    <w:rsid w:val="002500C8"/>
    <w:rsid w:val="002535AB"/>
    <w:rsid w:val="00256492"/>
    <w:rsid w:val="00257543"/>
    <w:rsid w:val="002617E7"/>
    <w:rsid w:val="00263434"/>
    <w:rsid w:val="00264228"/>
    <w:rsid w:val="00264334"/>
    <w:rsid w:val="0026473E"/>
    <w:rsid w:val="00266214"/>
    <w:rsid w:val="00267C83"/>
    <w:rsid w:val="0027144F"/>
    <w:rsid w:val="00271F3A"/>
    <w:rsid w:val="00273278"/>
    <w:rsid w:val="002737F4"/>
    <w:rsid w:val="002805F5"/>
    <w:rsid w:val="00280751"/>
    <w:rsid w:val="00280DD1"/>
    <w:rsid w:val="0028280A"/>
    <w:rsid w:val="00285E54"/>
    <w:rsid w:val="00286ACD"/>
    <w:rsid w:val="00287838"/>
    <w:rsid w:val="002907B5"/>
    <w:rsid w:val="00291A04"/>
    <w:rsid w:val="00292EB7"/>
    <w:rsid w:val="00296227"/>
    <w:rsid w:val="00296F44"/>
    <w:rsid w:val="0029777D"/>
    <w:rsid w:val="002A055E"/>
    <w:rsid w:val="002A1D4E"/>
    <w:rsid w:val="002A2008"/>
    <w:rsid w:val="002A2869"/>
    <w:rsid w:val="002B24D6"/>
    <w:rsid w:val="002C41E6"/>
    <w:rsid w:val="002D071A"/>
    <w:rsid w:val="002D34B2"/>
    <w:rsid w:val="002D7637"/>
    <w:rsid w:val="002E033A"/>
    <w:rsid w:val="002E17F2"/>
    <w:rsid w:val="002E323D"/>
    <w:rsid w:val="002E4297"/>
    <w:rsid w:val="002E7CAE"/>
    <w:rsid w:val="002F2771"/>
    <w:rsid w:val="002F37A9"/>
    <w:rsid w:val="00301CE6"/>
    <w:rsid w:val="0030256B"/>
    <w:rsid w:val="00304608"/>
    <w:rsid w:val="0030501F"/>
    <w:rsid w:val="003062EC"/>
    <w:rsid w:val="00307220"/>
    <w:rsid w:val="00307BA1"/>
    <w:rsid w:val="00311702"/>
    <w:rsid w:val="00311E82"/>
    <w:rsid w:val="00313FD6"/>
    <w:rsid w:val="003143BD"/>
    <w:rsid w:val="003203ED"/>
    <w:rsid w:val="00322C9F"/>
    <w:rsid w:val="00324D23"/>
    <w:rsid w:val="00331751"/>
    <w:rsid w:val="00334579"/>
    <w:rsid w:val="003350B1"/>
    <w:rsid w:val="00335858"/>
    <w:rsid w:val="00336BDA"/>
    <w:rsid w:val="00336E08"/>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5BF0"/>
    <w:rsid w:val="003913D0"/>
    <w:rsid w:val="003939FF"/>
    <w:rsid w:val="003A2223"/>
    <w:rsid w:val="003A2624"/>
    <w:rsid w:val="003A2A0F"/>
    <w:rsid w:val="003A332E"/>
    <w:rsid w:val="003A45A1"/>
    <w:rsid w:val="003A5B0A"/>
    <w:rsid w:val="003A6BAC"/>
    <w:rsid w:val="003A7EF3"/>
    <w:rsid w:val="003B159C"/>
    <w:rsid w:val="003B369F"/>
    <w:rsid w:val="003B36A3"/>
    <w:rsid w:val="003B4296"/>
    <w:rsid w:val="003B460B"/>
    <w:rsid w:val="003B7FE5"/>
    <w:rsid w:val="003C11C8"/>
    <w:rsid w:val="003C2702"/>
    <w:rsid w:val="003C28B7"/>
    <w:rsid w:val="003C7806"/>
    <w:rsid w:val="003D109F"/>
    <w:rsid w:val="003D2478"/>
    <w:rsid w:val="003D3C45"/>
    <w:rsid w:val="003D466E"/>
    <w:rsid w:val="003D5B1F"/>
    <w:rsid w:val="003E15FA"/>
    <w:rsid w:val="003E55E4"/>
    <w:rsid w:val="003E5E8E"/>
    <w:rsid w:val="003E74E3"/>
    <w:rsid w:val="003F05C7"/>
    <w:rsid w:val="003F2CD4"/>
    <w:rsid w:val="003F6BBE"/>
    <w:rsid w:val="004000E8"/>
    <w:rsid w:val="00402ACF"/>
    <w:rsid w:val="00402E2B"/>
    <w:rsid w:val="0040512B"/>
    <w:rsid w:val="00405CA5"/>
    <w:rsid w:val="00405FD2"/>
    <w:rsid w:val="00407CD3"/>
    <w:rsid w:val="00410134"/>
    <w:rsid w:val="00410B72"/>
    <w:rsid w:val="00410F18"/>
    <w:rsid w:val="0041263E"/>
    <w:rsid w:val="00413AAC"/>
    <w:rsid w:val="00421105"/>
    <w:rsid w:val="0042313F"/>
    <w:rsid w:val="004242F4"/>
    <w:rsid w:val="00427248"/>
    <w:rsid w:val="0043725D"/>
    <w:rsid w:val="00437447"/>
    <w:rsid w:val="00441A92"/>
    <w:rsid w:val="00444F56"/>
    <w:rsid w:val="00446488"/>
    <w:rsid w:val="004517AA"/>
    <w:rsid w:val="00452CAC"/>
    <w:rsid w:val="00453B69"/>
    <w:rsid w:val="00455EE5"/>
    <w:rsid w:val="00457565"/>
    <w:rsid w:val="00457B71"/>
    <w:rsid w:val="00461AED"/>
    <w:rsid w:val="00463AE4"/>
    <w:rsid w:val="004669E2"/>
    <w:rsid w:val="00466A40"/>
    <w:rsid w:val="00467C7D"/>
    <w:rsid w:val="00470C31"/>
    <w:rsid w:val="004734D0"/>
    <w:rsid w:val="0047556B"/>
    <w:rsid w:val="00477768"/>
    <w:rsid w:val="004856DC"/>
    <w:rsid w:val="004904F7"/>
    <w:rsid w:val="00491AA5"/>
    <w:rsid w:val="00492BC5"/>
    <w:rsid w:val="00493A4A"/>
    <w:rsid w:val="004964F1"/>
    <w:rsid w:val="004A16BC"/>
    <w:rsid w:val="004A2B94"/>
    <w:rsid w:val="004B2833"/>
    <w:rsid w:val="004B6117"/>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4DA3"/>
    <w:rsid w:val="00502F66"/>
    <w:rsid w:val="00506557"/>
    <w:rsid w:val="0050677A"/>
    <w:rsid w:val="005108D8"/>
    <w:rsid w:val="005116F9"/>
    <w:rsid w:val="005153A7"/>
    <w:rsid w:val="00520875"/>
    <w:rsid w:val="0052097D"/>
    <w:rsid w:val="005219CF"/>
    <w:rsid w:val="0052500F"/>
    <w:rsid w:val="00527F33"/>
    <w:rsid w:val="00530B60"/>
    <w:rsid w:val="00533C02"/>
    <w:rsid w:val="005348D6"/>
    <w:rsid w:val="00534B59"/>
    <w:rsid w:val="00536102"/>
    <w:rsid w:val="00536759"/>
    <w:rsid w:val="00537512"/>
    <w:rsid w:val="00537C62"/>
    <w:rsid w:val="00546970"/>
    <w:rsid w:val="00554E19"/>
    <w:rsid w:val="0056121F"/>
    <w:rsid w:val="00572505"/>
    <w:rsid w:val="00582809"/>
    <w:rsid w:val="0058798C"/>
    <w:rsid w:val="005900FA"/>
    <w:rsid w:val="005935A4"/>
    <w:rsid w:val="005948C2"/>
    <w:rsid w:val="00595DCA"/>
    <w:rsid w:val="00596661"/>
    <w:rsid w:val="00597500"/>
    <w:rsid w:val="0059779B"/>
    <w:rsid w:val="005A209A"/>
    <w:rsid w:val="005A662D"/>
    <w:rsid w:val="005A7D2C"/>
    <w:rsid w:val="005B35D7"/>
    <w:rsid w:val="005B392A"/>
    <w:rsid w:val="005B3AA3"/>
    <w:rsid w:val="005B591A"/>
    <w:rsid w:val="005B6F83"/>
    <w:rsid w:val="005C74FB"/>
    <w:rsid w:val="005D1602"/>
    <w:rsid w:val="005D64A1"/>
    <w:rsid w:val="005E2EFE"/>
    <w:rsid w:val="005E385F"/>
    <w:rsid w:val="005E5B81"/>
    <w:rsid w:val="005F0078"/>
    <w:rsid w:val="005F259B"/>
    <w:rsid w:val="005F2CB1"/>
    <w:rsid w:val="005F3025"/>
    <w:rsid w:val="005F618C"/>
    <w:rsid w:val="005F70BD"/>
    <w:rsid w:val="0060283C"/>
    <w:rsid w:val="0060466D"/>
    <w:rsid w:val="00604F14"/>
    <w:rsid w:val="00611B83"/>
    <w:rsid w:val="00612548"/>
    <w:rsid w:val="00613257"/>
    <w:rsid w:val="00620A71"/>
    <w:rsid w:val="00620D80"/>
    <w:rsid w:val="006234A6"/>
    <w:rsid w:val="00630001"/>
    <w:rsid w:val="006311B3"/>
    <w:rsid w:val="00631CA0"/>
    <w:rsid w:val="0063284C"/>
    <w:rsid w:val="0063460E"/>
    <w:rsid w:val="00636398"/>
    <w:rsid w:val="006368D3"/>
    <w:rsid w:val="006377EC"/>
    <w:rsid w:val="0064151F"/>
    <w:rsid w:val="00641533"/>
    <w:rsid w:val="0064208D"/>
    <w:rsid w:val="00643475"/>
    <w:rsid w:val="0064396A"/>
    <w:rsid w:val="00645B65"/>
    <w:rsid w:val="0064624E"/>
    <w:rsid w:val="00650AB9"/>
    <w:rsid w:val="00652397"/>
    <w:rsid w:val="00652FD4"/>
    <w:rsid w:val="00653F4C"/>
    <w:rsid w:val="00654017"/>
    <w:rsid w:val="00655733"/>
    <w:rsid w:val="00655ACD"/>
    <w:rsid w:val="00656A92"/>
    <w:rsid w:val="00656DDE"/>
    <w:rsid w:val="00657037"/>
    <w:rsid w:val="0066011D"/>
    <w:rsid w:val="006607C0"/>
    <w:rsid w:val="006613A6"/>
    <w:rsid w:val="006627A2"/>
    <w:rsid w:val="006634E6"/>
    <w:rsid w:val="00663C21"/>
    <w:rsid w:val="006655EE"/>
    <w:rsid w:val="00665EE9"/>
    <w:rsid w:val="00667EE7"/>
    <w:rsid w:val="00670922"/>
    <w:rsid w:val="00670BE1"/>
    <w:rsid w:val="00670F1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256A"/>
    <w:rsid w:val="006A46FB"/>
    <w:rsid w:val="006A5E28"/>
    <w:rsid w:val="006A697B"/>
    <w:rsid w:val="006A7AFF"/>
    <w:rsid w:val="006B1816"/>
    <w:rsid w:val="006B2099"/>
    <w:rsid w:val="006B211A"/>
    <w:rsid w:val="006B50CF"/>
    <w:rsid w:val="006C03B8"/>
    <w:rsid w:val="006C5EC9"/>
    <w:rsid w:val="006C6059"/>
    <w:rsid w:val="006C7522"/>
    <w:rsid w:val="006D6F08"/>
    <w:rsid w:val="006E062C"/>
    <w:rsid w:val="006E28B7"/>
    <w:rsid w:val="006E3310"/>
    <w:rsid w:val="006E3CF1"/>
    <w:rsid w:val="006E4E39"/>
    <w:rsid w:val="006E4FE7"/>
    <w:rsid w:val="006E565E"/>
    <w:rsid w:val="006E6603"/>
    <w:rsid w:val="006E673D"/>
    <w:rsid w:val="006E7D3B"/>
    <w:rsid w:val="006F0249"/>
    <w:rsid w:val="006F19E9"/>
    <w:rsid w:val="006F1B70"/>
    <w:rsid w:val="006F341D"/>
    <w:rsid w:val="006F3CDE"/>
    <w:rsid w:val="006F58D4"/>
    <w:rsid w:val="0070346E"/>
    <w:rsid w:val="00703A1D"/>
    <w:rsid w:val="00704EDB"/>
    <w:rsid w:val="00705902"/>
    <w:rsid w:val="00706101"/>
    <w:rsid w:val="00707072"/>
    <w:rsid w:val="00707D61"/>
    <w:rsid w:val="00712287"/>
    <w:rsid w:val="00712772"/>
    <w:rsid w:val="007148D3"/>
    <w:rsid w:val="00715B9A"/>
    <w:rsid w:val="0071652D"/>
    <w:rsid w:val="00723626"/>
    <w:rsid w:val="00726EA6"/>
    <w:rsid w:val="00727208"/>
    <w:rsid w:val="00727680"/>
    <w:rsid w:val="0073352D"/>
    <w:rsid w:val="007348B1"/>
    <w:rsid w:val="007362A6"/>
    <w:rsid w:val="00736D7D"/>
    <w:rsid w:val="00740E58"/>
    <w:rsid w:val="00742F1C"/>
    <w:rsid w:val="007445A0"/>
    <w:rsid w:val="0074524B"/>
    <w:rsid w:val="00747D8B"/>
    <w:rsid w:val="00751228"/>
    <w:rsid w:val="00752E85"/>
    <w:rsid w:val="007571E1"/>
    <w:rsid w:val="007603B7"/>
    <w:rsid w:val="007604B2"/>
    <w:rsid w:val="0076057F"/>
    <w:rsid w:val="00760764"/>
    <w:rsid w:val="00763FC8"/>
    <w:rsid w:val="00765281"/>
    <w:rsid w:val="00766BAD"/>
    <w:rsid w:val="007730BD"/>
    <w:rsid w:val="007755F2"/>
    <w:rsid w:val="00776971"/>
    <w:rsid w:val="0078177E"/>
    <w:rsid w:val="0078304C"/>
    <w:rsid w:val="00783673"/>
    <w:rsid w:val="00785490"/>
    <w:rsid w:val="007923BE"/>
    <w:rsid w:val="007925EA"/>
    <w:rsid w:val="00793CD8"/>
    <w:rsid w:val="00795733"/>
    <w:rsid w:val="00795C92"/>
    <w:rsid w:val="00796231"/>
    <w:rsid w:val="007A1CB3"/>
    <w:rsid w:val="007A2672"/>
    <w:rsid w:val="007A306F"/>
    <w:rsid w:val="007A43A6"/>
    <w:rsid w:val="007A58A6"/>
    <w:rsid w:val="007B2AD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C36"/>
    <w:rsid w:val="00803FAE"/>
    <w:rsid w:val="0080605F"/>
    <w:rsid w:val="00807786"/>
    <w:rsid w:val="00811FCB"/>
    <w:rsid w:val="008158D6"/>
    <w:rsid w:val="00816061"/>
    <w:rsid w:val="00817196"/>
    <w:rsid w:val="008235DB"/>
    <w:rsid w:val="00824AB4"/>
    <w:rsid w:val="00825C42"/>
    <w:rsid w:val="00825D25"/>
    <w:rsid w:val="00827D6F"/>
    <w:rsid w:val="0083038E"/>
    <w:rsid w:val="00830976"/>
    <w:rsid w:val="00832B28"/>
    <w:rsid w:val="008376AC"/>
    <w:rsid w:val="00837A71"/>
    <w:rsid w:val="008444E8"/>
    <w:rsid w:val="00844E80"/>
    <w:rsid w:val="00846558"/>
    <w:rsid w:val="00846FE7"/>
    <w:rsid w:val="00854F97"/>
    <w:rsid w:val="00855194"/>
    <w:rsid w:val="00855B38"/>
    <w:rsid w:val="00856911"/>
    <w:rsid w:val="00857894"/>
    <w:rsid w:val="008604BD"/>
    <w:rsid w:val="008677FD"/>
    <w:rsid w:val="008706D4"/>
    <w:rsid w:val="00870F8A"/>
    <w:rsid w:val="008719A4"/>
    <w:rsid w:val="00871D23"/>
    <w:rsid w:val="00872C32"/>
    <w:rsid w:val="00873DB0"/>
    <w:rsid w:val="00874312"/>
    <w:rsid w:val="0087437C"/>
    <w:rsid w:val="00875CD7"/>
    <w:rsid w:val="00876B4D"/>
    <w:rsid w:val="00877F18"/>
    <w:rsid w:val="00886441"/>
    <w:rsid w:val="00887DB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127"/>
    <w:rsid w:val="008D34F1"/>
    <w:rsid w:val="008D39D8"/>
    <w:rsid w:val="008D6D1A"/>
    <w:rsid w:val="008E065E"/>
    <w:rsid w:val="008E0927"/>
    <w:rsid w:val="008E1909"/>
    <w:rsid w:val="008F1EAB"/>
    <w:rsid w:val="008F2CC4"/>
    <w:rsid w:val="008F33DC"/>
    <w:rsid w:val="008F477F"/>
    <w:rsid w:val="00902350"/>
    <w:rsid w:val="0090336B"/>
    <w:rsid w:val="009053AA"/>
    <w:rsid w:val="00905F16"/>
    <w:rsid w:val="00906939"/>
    <w:rsid w:val="00910B7D"/>
    <w:rsid w:val="00911DFB"/>
    <w:rsid w:val="0091279E"/>
    <w:rsid w:val="009139D9"/>
    <w:rsid w:val="00914AD8"/>
    <w:rsid w:val="00914DB8"/>
    <w:rsid w:val="00916079"/>
    <w:rsid w:val="0091738A"/>
    <w:rsid w:val="0091771F"/>
    <w:rsid w:val="00917CE9"/>
    <w:rsid w:val="00920BF2"/>
    <w:rsid w:val="00922010"/>
    <w:rsid w:val="009261D3"/>
    <w:rsid w:val="00931BD9"/>
    <w:rsid w:val="009368F3"/>
    <w:rsid w:val="0094065A"/>
    <w:rsid w:val="00941636"/>
    <w:rsid w:val="009421D4"/>
    <w:rsid w:val="00943742"/>
    <w:rsid w:val="00945C05"/>
    <w:rsid w:val="00946945"/>
    <w:rsid w:val="00946A8D"/>
    <w:rsid w:val="00947713"/>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3267"/>
    <w:rsid w:val="00985253"/>
    <w:rsid w:val="009853B3"/>
    <w:rsid w:val="00990630"/>
    <w:rsid w:val="00991761"/>
    <w:rsid w:val="009949C8"/>
    <w:rsid w:val="00994DCA"/>
    <w:rsid w:val="009960EC"/>
    <w:rsid w:val="009970DD"/>
    <w:rsid w:val="009A0FBA"/>
    <w:rsid w:val="009A1601"/>
    <w:rsid w:val="009A462D"/>
    <w:rsid w:val="009A5CBA"/>
    <w:rsid w:val="009B1F30"/>
    <w:rsid w:val="009B230A"/>
    <w:rsid w:val="009B34BA"/>
    <w:rsid w:val="009B3AC2"/>
    <w:rsid w:val="009B4DF4"/>
    <w:rsid w:val="009B564E"/>
    <w:rsid w:val="009B7A6F"/>
    <w:rsid w:val="009B7E87"/>
    <w:rsid w:val="009C403E"/>
    <w:rsid w:val="009D4FF0"/>
    <w:rsid w:val="009D703C"/>
    <w:rsid w:val="009D718F"/>
    <w:rsid w:val="009E068F"/>
    <w:rsid w:val="009E14E0"/>
    <w:rsid w:val="009E35DB"/>
    <w:rsid w:val="009E3E09"/>
    <w:rsid w:val="009E47A3"/>
    <w:rsid w:val="009E5FEC"/>
    <w:rsid w:val="009F08F3"/>
    <w:rsid w:val="009F344F"/>
    <w:rsid w:val="00A048A8"/>
    <w:rsid w:val="00A04F49"/>
    <w:rsid w:val="00A0696C"/>
    <w:rsid w:val="00A13E54"/>
    <w:rsid w:val="00A17F63"/>
    <w:rsid w:val="00A2052C"/>
    <w:rsid w:val="00A2193B"/>
    <w:rsid w:val="00A220D7"/>
    <w:rsid w:val="00A2351A"/>
    <w:rsid w:val="00A264A9"/>
    <w:rsid w:val="00A27785"/>
    <w:rsid w:val="00A30187"/>
    <w:rsid w:val="00A3448A"/>
    <w:rsid w:val="00A36297"/>
    <w:rsid w:val="00A36385"/>
    <w:rsid w:val="00A41E2B"/>
    <w:rsid w:val="00A43F70"/>
    <w:rsid w:val="00A45B74"/>
    <w:rsid w:val="00A52E1D"/>
    <w:rsid w:val="00A54B15"/>
    <w:rsid w:val="00A571EF"/>
    <w:rsid w:val="00A61499"/>
    <w:rsid w:val="00A622EA"/>
    <w:rsid w:val="00A62A77"/>
    <w:rsid w:val="00A63483"/>
    <w:rsid w:val="00A657D7"/>
    <w:rsid w:val="00A660AC"/>
    <w:rsid w:val="00A66F55"/>
    <w:rsid w:val="00A67E6C"/>
    <w:rsid w:val="00A71B99"/>
    <w:rsid w:val="00A7302A"/>
    <w:rsid w:val="00A739D0"/>
    <w:rsid w:val="00A761D4"/>
    <w:rsid w:val="00A77817"/>
    <w:rsid w:val="00A77EC4"/>
    <w:rsid w:val="00A921CD"/>
    <w:rsid w:val="00A92879"/>
    <w:rsid w:val="00A9442A"/>
    <w:rsid w:val="00AA016F"/>
    <w:rsid w:val="00AA1ED6"/>
    <w:rsid w:val="00AA38CF"/>
    <w:rsid w:val="00AA51D6"/>
    <w:rsid w:val="00AA6173"/>
    <w:rsid w:val="00AB0BC8"/>
    <w:rsid w:val="00AB11CA"/>
    <w:rsid w:val="00AB14D9"/>
    <w:rsid w:val="00AB4AB8"/>
    <w:rsid w:val="00AB655E"/>
    <w:rsid w:val="00AC007F"/>
    <w:rsid w:val="00AC2ECD"/>
    <w:rsid w:val="00AC3119"/>
    <w:rsid w:val="00AC49FB"/>
    <w:rsid w:val="00AC5A10"/>
    <w:rsid w:val="00AD0AA3"/>
    <w:rsid w:val="00AD3F94"/>
    <w:rsid w:val="00AD4A5A"/>
    <w:rsid w:val="00AD59AF"/>
    <w:rsid w:val="00AE27AC"/>
    <w:rsid w:val="00AE3743"/>
    <w:rsid w:val="00AE40E0"/>
    <w:rsid w:val="00AE4DBA"/>
    <w:rsid w:val="00AE4F07"/>
    <w:rsid w:val="00AF1C5D"/>
    <w:rsid w:val="00AF2BE0"/>
    <w:rsid w:val="00AF42D7"/>
    <w:rsid w:val="00B006FE"/>
    <w:rsid w:val="00B007C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1888"/>
    <w:rsid w:val="00B45A52"/>
    <w:rsid w:val="00B46175"/>
    <w:rsid w:val="00B47E7E"/>
    <w:rsid w:val="00B55781"/>
    <w:rsid w:val="00B6188F"/>
    <w:rsid w:val="00B64183"/>
    <w:rsid w:val="00B6462C"/>
    <w:rsid w:val="00B664C7"/>
    <w:rsid w:val="00B739F6"/>
    <w:rsid w:val="00B810F3"/>
    <w:rsid w:val="00B81A6C"/>
    <w:rsid w:val="00B85DE5"/>
    <w:rsid w:val="00B90F73"/>
    <w:rsid w:val="00B93B59"/>
    <w:rsid w:val="00B9406A"/>
    <w:rsid w:val="00B96775"/>
    <w:rsid w:val="00BA1CCA"/>
    <w:rsid w:val="00BA2280"/>
    <w:rsid w:val="00BA2A08"/>
    <w:rsid w:val="00BA56D2"/>
    <w:rsid w:val="00BA76E0"/>
    <w:rsid w:val="00BB2A25"/>
    <w:rsid w:val="00BB51E9"/>
    <w:rsid w:val="00BC0FDC"/>
    <w:rsid w:val="00BC1246"/>
    <w:rsid w:val="00BC269C"/>
    <w:rsid w:val="00BC3053"/>
    <w:rsid w:val="00BC4D2E"/>
    <w:rsid w:val="00BC4D68"/>
    <w:rsid w:val="00BC7196"/>
    <w:rsid w:val="00BD266D"/>
    <w:rsid w:val="00BD48AC"/>
    <w:rsid w:val="00BD5F1A"/>
    <w:rsid w:val="00BE1234"/>
    <w:rsid w:val="00BE2FA6"/>
    <w:rsid w:val="00BE333F"/>
    <w:rsid w:val="00BE7406"/>
    <w:rsid w:val="00BE7603"/>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744"/>
    <w:rsid w:val="00C23E60"/>
    <w:rsid w:val="00C24345"/>
    <w:rsid w:val="00C279B5"/>
    <w:rsid w:val="00C27C45"/>
    <w:rsid w:val="00C3719D"/>
    <w:rsid w:val="00C41FA0"/>
    <w:rsid w:val="00C508E2"/>
    <w:rsid w:val="00C54995"/>
    <w:rsid w:val="00C54D41"/>
    <w:rsid w:val="00C556CC"/>
    <w:rsid w:val="00C60783"/>
    <w:rsid w:val="00C60B00"/>
    <w:rsid w:val="00C6123A"/>
    <w:rsid w:val="00C63C6F"/>
    <w:rsid w:val="00C64672"/>
    <w:rsid w:val="00C70697"/>
    <w:rsid w:val="00C72EF4"/>
    <w:rsid w:val="00C7509A"/>
    <w:rsid w:val="00C75D2F"/>
    <w:rsid w:val="00C767BE"/>
    <w:rsid w:val="00C76E3C"/>
    <w:rsid w:val="00C76F43"/>
    <w:rsid w:val="00C80EEC"/>
    <w:rsid w:val="00C81568"/>
    <w:rsid w:val="00C84724"/>
    <w:rsid w:val="00C9027A"/>
    <w:rsid w:val="00C9068E"/>
    <w:rsid w:val="00C93C4B"/>
    <w:rsid w:val="00C944AB"/>
    <w:rsid w:val="00C95B40"/>
    <w:rsid w:val="00C97AAD"/>
    <w:rsid w:val="00CA19D7"/>
    <w:rsid w:val="00CA1ED8"/>
    <w:rsid w:val="00CA4632"/>
    <w:rsid w:val="00CA6FC8"/>
    <w:rsid w:val="00CB1B2E"/>
    <w:rsid w:val="00CB1F63"/>
    <w:rsid w:val="00CB7170"/>
    <w:rsid w:val="00CC040E"/>
    <w:rsid w:val="00CC111F"/>
    <w:rsid w:val="00CC2011"/>
    <w:rsid w:val="00CC3EA0"/>
    <w:rsid w:val="00CC4B24"/>
    <w:rsid w:val="00CC6E63"/>
    <w:rsid w:val="00CC7B45"/>
    <w:rsid w:val="00CD1188"/>
    <w:rsid w:val="00CD2ED1"/>
    <w:rsid w:val="00CD326D"/>
    <w:rsid w:val="00CD337B"/>
    <w:rsid w:val="00CE0424"/>
    <w:rsid w:val="00CE7561"/>
    <w:rsid w:val="00CF1354"/>
    <w:rsid w:val="00CF2BFC"/>
    <w:rsid w:val="00CF3B1F"/>
    <w:rsid w:val="00CF3BF6"/>
    <w:rsid w:val="00CF625B"/>
    <w:rsid w:val="00CF687E"/>
    <w:rsid w:val="00D0349B"/>
    <w:rsid w:val="00D10249"/>
    <w:rsid w:val="00D115C3"/>
    <w:rsid w:val="00D11897"/>
    <w:rsid w:val="00D12BFF"/>
    <w:rsid w:val="00D13135"/>
    <w:rsid w:val="00D13E4E"/>
    <w:rsid w:val="00D22755"/>
    <w:rsid w:val="00D239A7"/>
    <w:rsid w:val="00D23F47"/>
    <w:rsid w:val="00D36E71"/>
    <w:rsid w:val="00D378F1"/>
    <w:rsid w:val="00D37D87"/>
    <w:rsid w:val="00D40B33"/>
    <w:rsid w:val="00D4318F"/>
    <w:rsid w:val="00D438BF"/>
    <w:rsid w:val="00D440F8"/>
    <w:rsid w:val="00D4522C"/>
    <w:rsid w:val="00D45E9E"/>
    <w:rsid w:val="00D5058D"/>
    <w:rsid w:val="00D50F97"/>
    <w:rsid w:val="00D546FF"/>
    <w:rsid w:val="00D55AD5"/>
    <w:rsid w:val="00D576CA"/>
    <w:rsid w:val="00D61AF5"/>
    <w:rsid w:val="00D62CE4"/>
    <w:rsid w:val="00D652B5"/>
    <w:rsid w:val="00D66155"/>
    <w:rsid w:val="00D708B0"/>
    <w:rsid w:val="00D7397F"/>
    <w:rsid w:val="00D77B1D"/>
    <w:rsid w:val="00D8021F"/>
    <w:rsid w:val="00D80383"/>
    <w:rsid w:val="00D80817"/>
    <w:rsid w:val="00D80970"/>
    <w:rsid w:val="00D823C6"/>
    <w:rsid w:val="00D86CA3"/>
    <w:rsid w:val="00D871CE"/>
    <w:rsid w:val="00D9196D"/>
    <w:rsid w:val="00D92982"/>
    <w:rsid w:val="00DA305E"/>
    <w:rsid w:val="00DA5417"/>
    <w:rsid w:val="00DA56E8"/>
    <w:rsid w:val="00DB0A9F"/>
    <w:rsid w:val="00DB377D"/>
    <w:rsid w:val="00DB780F"/>
    <w:rsid w:val="00DC2D36"/>
    <w:rsid w:val="00DC3FE7"/>
    <w:rsid w:val="00DC53EF"/>
    <w:rsid w:val="00DD4AE1"/>
    <w:rsid w:val="00DE205C"/>
    <w:rsid w:val="00DE5608"/>
    <w:rsid w:val="00DE58D0"/>
    <w:rsid w:val="00DE654F"/>
    <w:rsid w:val="00DF0B6E"/>
    <w:rsid w:val="00DF15E0"/>
    <w:rsid w:val="00DF37A0"/>
    <w:rsid w:val="00E03973"/>
    <w:rsid w:val="00E04CCE"/>
    <w:rsid w:val="00E110E7"/>
    <w:rsid w:val="00E11B20"/>
    <w:rsid w:val="00E12017"/>
    <w:rsid w:val="00E14916"/>
    <w:rsid w:val="00E17FA2"/>
    <w:rsid w:val="00E22330"/>
    <w:rsid w:val="00E30B5A"/>
    <w:rsid w:val="00E3123D"/>
    <w:rsid w:val="00E31461"/>
    <w:rsid w:val="00E31D43"/>
    <w:rsid w:val="00E32608"/>
    <w:rsid w:val="00E34188"/>
    <w:rsid w:val="00E34B6E"/>
    <w:rsid w:val="00E35559"/>
    <w:rsid w:val="00E369C7"/>
    <w:rsid w:val="00E3723A"/>
    <w:rsid w:val="00E37860"/>
    <w:rsid w:val="00E40B01"/>
    <w:rsid w:val="00E41EBF"/>
    <w:rsid w:val="00E4404B"/>
    <w:rsid w:val="00E446F1"/>
    <w:rsid w:val="00E46886"/>
    <w:rsid w:val="00E47AEF"/>
    <w:rsid w:val="00E53B75"/>
    <w:rsid w:val="00E54E3B"/>
    <w:rsid w:val="00E57565"/>
    <w:rsid w:val="00E63838"/>
    <w:rsid w:val="00E64434"/>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A1C"/>
    <w:rsid w:val="00EA7A41"/>
    <w:rsid w:val="00EB077B"/>
    <w:rsid w:val="00EB1568"/>
    <w:rsid w:val="00EB171C"/>
    <w:rsid w:val="00EB4EA2"/>
    <w:rsid w:val="00EB5D45"/>
    <w:rsid w:val="00EC27C6"/>
    <w:rsid w:val="00EC4207"/>
    <w:rsid w:val="00EC5653"/>
    <w:rsid w:val="00EC71CE"/>
    <w:rsid w:val="00ED1006"/>
    <w:rsid w:val="00EF18FE"/>
    <w:rsid w:val="00EF5787"/>
    <w:rsid w:val="00EF60D0"/>
    <w:rsid w:val="00F02438"/>
    <w:rsid w:val="00F0528D"/>
    <w:rsid w:val="00F06C67"/>
    <w:rsid w:val="00F06DFD"/>
    <w:rsid w:val="00F071D1"/>
    <w:rsid w:val="00F07533"/>
    <w:rsid w:val="00F10629"/>
    <w:rsid w:val="00F15FA5"/>
    <w:rsid w:val="00F209B7"/>
    <w:rsid w:val="00F2376F"/>
    <w:rsid w:val="00F243D8"/>
    <w:rsid w:val="00F27810"/>
    <w:rsid w:val="00F30828"/>
    <w:rsid w:val="00F313D6"/>
    <w:rsid w:val="00F33F7E"/>
    <w:rsid w:val="00F40F0C"/>
    <w:rsid w:val="00F46DA8"/>
    <w:rsid w:val="00F4766C"/>
    <w:rsid w:val="00F507D1"/>
    <w:rsid w:val="00F519CE"/>
    <w:rsid w:val="00F51ADA"/>
    <w:rsid w:val="00F5738C"/>
    <w:rsid w:val="00F607C5"/>
    <w:rsid w:val="00F60DEA"/>
    <w:rsid w:val="00F6302A"/>
    <w:rsid w:val="00F6309D"/>
    <w:rsid w:val="00F64C2B"/>
    <w:rsid w:val="00F651BE"/>
    <w:rsid w:val="00F66FD9"/>
    <w:rsid w:val="00F670E5"/>
    <w:rsid w:val="00F67F53"/>
    <w:rsid w:val="00F703BE"/>
    <w:rsid w:val="00F71F69"/>
    <w:rsid w:val="00F72B72"/>
    <w:rsid w:val="00F73959"/>
    <w:rsid w:val="00F74BB9"/>
    <w:rsid w:val="00F75582"/>
    <w:rsid w:val="00F76EFA"/>
    <w:rsid w:val="00F804BE"/>
    <w:rsid w:val="00F817CE"/>
    <w:rsid w:val="00F8456C"/>
    <w:rsid w:val="00F859D8"/>
    <w:rsid w:val="00F86487"/>
    <w:rsid w:val="00F868F5"/>
    <w:rsid w:val="00F9056A"/>
    <w:rsid w:val="00F90F8D"/>
    <w:rsid w:val="00F92782"/>
    <w:rsid w:val="00F934E7"/>
    <w:rsid w:val="00F93AA9"/>
    <w:rsid w:val="00F96985"/>
    <w:rsid w:val="00F97838"/>
    <w:rsid w:val="00FA2BB3"/>
    <w:rsid w:val="00FA3039"/>
    <w:rsid w:val="00FB0507"/>
    <w:rsid w:val="00FB4C80"/>
    <w:rsid w:val="00FB6A6A"/>
    <w:rsid w:val="00FC7429"/>
    <w:rsid w:val="00FD07F6"/>
    <w:rsid w:val="00FD1EC8"/>
    <w:rsid w:val="00FD47ED"/>
    <w:rsid w:val="00FD74DB"/>
    <w:rsid w:val="00FD7660"/>
    <w:rsid w:val="00FE0655"/>
    <w:rsid w:val="00FE2365"/>
    <w:rsid w:val="00FE2C21"/>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D378F1"/>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D378F1"/>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97500"/>
    <w:rPr>
      <w:rFonts w:ascii="Arial" w:hAnsi="Arial"/>
      <w:b/>
      <w:bCs/>
      <w:lang w:val="en-GB" w:eastAsia="zh-CN"/>
    </w:rPr>
  </w:style>
  <w:style w:type="paragraph" w:customStyle="1" w:styleId="textintend1">
    <w:name w:val="text intend 1"/>
    <w:basedOn w:val="Normal"/>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3gpp.org/ftp/tsg_ran/TSG_RAN/TSGR_82/Docs/RP-18286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5NUHHDQN7SK2-1476151046-44501</_dlc_DocId>
    <_dlc_DocIdUrl xmlns="f166a696-7b5b-4ccd-9f0c-ffde0cceec81">
      <Url>https://ericsson.sharepoint.com/sites/star/_layouts/15/DocIdRedir.aspx?ID=5NUHHDQN7SK2-1476151046-44501</Url>
      <Description>5NUHHDQN7SK2-1476151046-44501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8A55871-B0D9-4662-876E-A8EF1B650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F495443-3DBB-4FA3-8137-E2C152EE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271</TotalTime>
  <Pages>5</Pages>
  <Words>1939</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231</cp:revision>
  <cp:lastPrinted>2008-01-31T16:09:00Z</cp:lastPrinted>
  <dcterms:created xsi:type="dcterms:W3CDTF">2019-03-28T00:18:00Z</dcterms:created>
  <dcterms:modified xsi:type="dcterms:W3CDTF">2019-05-02T22:40:00Z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23591e12-1e96-4f47-b171-badf485a9c3d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ies>
</file>